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14"/>
        <w:widowControl/>
        <w:tabs>
          <w:tab w:val="left" w:pos="7230" w:leader="none"/>
          <w:tab w:val="left" w:pos="8327" w:leader="none"/>
          <w:tab w:val="left" w:pos="11057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Приложение 1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14"/>
        <w:widowControl/>
        <w:tabs>
          <w:tab w:val="left" w:pos="72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14"/>
        <w:widowControl/>
        <w:tabs>
          <w:tab w:val="left" w:pos="72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ЗАТО Северск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14"/>
        <w:ind w:firstLine="0"/>
        <w:widowControl/>
        <w:tabs>
          <w:tab w:val="left" w:pos="72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от_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_________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__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____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14"/>
        <w:ind w:firstLine="11340"/>
        <w:widowControl/>
        <w:tabs>
          <w:tab w:val="left" w:pos="723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714"/>
        <w:ind w:firstLine="0"/>
        <w:jc w:val="center"/>
        <w:widowControl/>
        <w:tabs>
          <w:tab w:val="left" w:pos="7230" w:leader="none"/>
        </w:tabs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«ПАСПОРТ </w:t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pStyle w:val="714"/>
        <w:ind w:firstLine="0"/>
        <w:jc w:val="center"/>
        <w:widowControl/>
        <w:tabs>
          <w:tab w:val="left" w:pos="7230" w:leader="none"/>
        </w:tabs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муниципальной программы «Повышение энергоэффективности в ЗАТО Северск»</w:t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pStyle w:val="714"/>
        <w:ind w:firstLine="0"/>
        <w:jc w:val="center"/>
        <w:widowControl/>
        <w:tabs>
          <w:tab w:val="left" w:pos="723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tbl>
      <w:tblPr>
        <w:tblW w:w="14538" w:type="dxa"/>
        <w:tblInd w:w="17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2488"/>
        <w:gridCol w:w="3088"/>
        <w:gridCol w:w="1536"/>
        <w:gridCol w:w="1409"/>
        <w:gridCol w:w="204"/>
        <w:gridCol w:w="1204"/>
        <w:gridCol w:w="213"/>
        <w:gridCol w:w="1195"/>
        <w:gridCol w:w="81"/>
        <w:gridCol w:w="1328"/>
        <w:gridCol w:w="231"/>
        <w:gridCol w:w="1559"/>
        <w:gridCol w:w="3"/>
      </w:tblGrid>
      <w:tr>
        <w:tblPrEx/>
        <w:trPr>
          <w:trHeight w:val="738"/>
        </w:trPr>
        <w:tc>
          <w:tcPr>
            <w:tcW w:w="248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2"/>
                <w:szCs w:val="22"/>
              </w:rPr>
              <w:t xml:space="preserve">Наименование муниципальной программы (далее </w:t>
            </w:r>
            <w:r>
              <w:rPr>
                <w:rFonts w:ascii="Times New Roman" w:hAnsi="Times New Roman" w:eastAsia="Calibri" w:cs="Times New Roman"/>
                <w:sz w:val="22"/>
                <w:szCs w:val="22"/>
              </w:rPr>
              <w:t xml:space="preserve">–</w:t>
            </w:r>
            <w:r>
              <w:rPr>
                <w:rFonts w:ascii="Times New Roman" w:hAnsi="Times New Roman" w:eastAsia="Calibri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22"/>
                <w:szCs w:val="22"/>
              </w:rPr>
              <w:t xml:space="preserve">Программа</w:t>
            </w:r>
            <w:r>
              <w:rPr>
                <w:rFonts w:ascii="Times New Roman" w:hAnsi="Times New Roman" w:eastAsia="Calibri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22"/>
                <w:szCs w:val="22"/>
              </w:rPr>
              <w:t xml:space="preserve">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12"/>
            <w:tcW w:w="120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2"/>
                <w:szCs w:val="22"/>
              </w:rPr>
              <w:t xml:space="preserve">Повышение энергоэффективности в ЗАТО Северск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4"/>
        </w:trPr>
        <w:tc>
          <w:tcPr>
            <w:tcW w:w="248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2"/>
                <w:szCs w:val="22"/>
              </w:rPr>
              <w:t xml:space="preserve">Срок реализации Программы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12"/>
            <w:tcW w:w="120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2"/>
                <w:szCs w:val="22"/>
              </w:rPr>
              <w:t xml:space="preserve">2025 - 2027 годы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02"/>
        </w:trPr>
        <w:tc>
          <w:tcPr>
            <w:tcW w:w="248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2"/>
                <w:szCs w:val="22"/>
              </w:rPr>
              <w:t xml:space="preserve">Ответственный исполнитель Программы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12"/>
            <w:tcW w:w="120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2"/>
                <w:szCs w:val="22"/>
              </w:rPr>
              <w:t xml:space="preserve">Управление жилищно-коммунального хозяйства, транспорта и связи Администрации ЗАТО Северск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43"/>
        </w:trPr>
        <w:tc>
          <w:tcPr>
            <w:tcW w:w="248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2"/>
                <w:szCs w:val="22"/>
              </w:rPr>
              <w:t xml:space="preserve">Соисполнители Программы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12"/>
            <w:tcW w:w="120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2"/>
                <w:szCs w:val="22"/>
              </w:rPr>
              <w:t xml:space="preserve">Отсутствуют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54"/>
        </w:trPr>
        <w:tc>
          <w:tcPr>
            <w:tcW w:w="248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2"/>
                <w:szCs w:val="22"/>
              </w:rPr>
              <w:t xml:space="preserve">Участники Программы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12"/>
            <w:tcW w:w="120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Управление жилищно-коммунального хозяйства, транспорта и связи Администрации ЗАТО Северск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57"/>
        </w:trPr>
        <w:tc>
          <w:tcPr>
            <w:tcW w:w="248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12"/>
            <w:tcW w:w="120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Управление капитального строительства Администрации ЗАТО Северск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06"/>
        </w:trPr>
        <w:tc>
          <w:tcPr>
            <w:tcW w:w="248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12"/>
            <w:tcBorders>
              <w:bottom w:val="single" w:color="000000" w:sz="4" w:space="0"/>
            </w:tcBorders>
            <w:tcW w:w="120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Управление культуры Администрации ЗАТО Северск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"/>
        </w:trPr>
        <w:tc>
          <w:tcPr>
            <w:tcW w:w="248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12"/>
            <w:tcBorders>
              <w:bottom w:val="single" w:color="000000" w:sz="4" w:space="0"/>
            </w:tcBorders>
            <w:tcW w:w="120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Управление по внегородским территориям Администрации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95"/>
        </w:trPr>
        <w:tc>
          <w:tcPr>
            <w:tcW w:w="248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0"/>
                <w:szCs w:val="20"/>
              </w:rPr>
            </w:pPr>
            <w:r>
              <w:rPr>
                <w:rFonts w:ascii="Times New Roman" w:hAnsi="Times New Roman" w:eastAsia="Calibri" w:cs="Times New Roman"/>
                <w:sz w:val="22"/>
                <w:szCs w:val="22"/>
              </w:rPr>
              <w:t xml:space="preserve">Цель социально-экономического развития ЗАТО Северск, на реализацию которой направлена Программа</w:t>
            </w:r>
            <w:r>
              <w:rPr>
                <w:rFonts w:ascii="Times New Roman" w:hAnsi="Times New Roman" w:eastAsia="Calibri" w:cs="Times New Roman"/>
                <w:sz w:val="20"/>
                <w:szCs w:val="20"/>
              </w:rPr>
            </w:r>
          </w:p>
        </w:tc>
        <w:tc>
          <w:tcPr>
            <w:gridSpan w:val="12"/>
            <w:tcBorders>
              <w:bottom w:val="single" w:color="000000" w:sz="4" w:space="0"/>
            </w:tcBorders>
            <w:tcW w:w="120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Повышение качества и надежности предоставления жилищно-коммунальных услуг для всех категорий граждан, развитие и устойчивое функционирование инженерной инфраструктуры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95"/>
        </w:trPr>
        <w:tc>
          <w:tcPr>
            <w:tcW w:w="248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0"/>
                <w:szCs w:val="20"/>
              </w:rPr>
            </w:pPr>
            <w:r>
              <w:rPr>
                <w:rFonts w:ascii="Times New Roman" w:hAnsi="Times New Roman" w:eastAsia="Calibri" w:cs="Times New Roman"/>
                <w:sz w:val="22"/>
                <w:szCs w:val="22"/>
              </w:rPr>
              <w:t xml:space="preserve">Цель Программы</w:t>
            </w:r>
            <w:r>
              <w:rPr>
                <w:rFonts w:ascii="Times New Roman" w:hAnsi="Times New Roman" w:eastAsia="Calibri" w:cs="Times New Roman"/>
                <w:sz w:val="20"/>
                <w:szCs w:val="20"/>
              </w:rPr>
            </w:r>
          </w:p>
        </w:tc>
        <w:tc>
          <w:tcPr>
            <w:gridSpan w:val="12"/>
            <w:tcBorders>
              <w:bottom w:val="single" w:color="000000" w:sz="4" w:space="0"/>
            </w:tcBorders>
            <w:tcW w:w="120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Повышение эффективности и качества функционирования систем энергоснабжения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gridAfter w:val="1"/>
          <w:trHeight w:val="846"/>
        </w:trPr>
        <w:tc>
          <w:tcPr>
            <w:tcBorders>
              <w:bottom w:val="single" w:color="auto" w:sz="4" w:space="0"/>
            </w:tcBorders>
            <w:tcW w:w="248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Целевые показатели (индикаторы) результативности Программы и их значения (по годам реализации)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46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Показатели цели,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br/>
              <w:t xml:space="preserve">единица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auto" w:sz="4" w:space="0"/>
            </w:tcBorders>
            <w:tcW w:w="16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2027 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2028 год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br/>
              <w:t xml:space="preserve">(прогноз-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2029 год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br/>
              <w:t xml:space="preserve">(прогноз-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</w:r>
          </w:p>
        </w:tc>
      </w:tr>
      <w:tr>
        <w:tblPrEx/>
        <w:trPr>
          <w:gridAfter w:val="1"/>
          <w:trHeight w:val="1091"/>
        </w:trPr>
        <w:tc>
          <w:tcPr>
            <w:tcBorders>
              <w:bottom w:val="single" w:color="auto" w:sz="4" w:space="0"/>
            </w:tcBorders>
            <w:tcW w:w="248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W w:w="462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1. Удельная величина потребления электрической энергии в многоквартирных домах на 1 проживающего,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квт.ч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1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899,9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899,9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899,9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899,9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899,9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gridAfter w:val="1"/>
          <w:trHeight w:val="979"/>
        </w:trPr>
        <w:tc>
          <w:tcPr>
            <w:tcBorders>
              <w:bottom w:val="single" w:color="auto" w:sz="4" w:space="0"/>
            </w:tcBorders>
            <w:tcW w:w="248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W w:w="462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2. Удельная величина потребления тепловой энергии в многоквартирных домах на 1 кв. м общей площади,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гигакал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1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0,254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0,253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0,253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0,253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0,253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gridAfter w:val="1"/>
          <w:trHeight w:val="562"/>
        </w:trPr>
        <w:tc>
          <w:tcPr>
            <w:tcBorders>
              <w:bottom w:val="single" w:color="auto" w:sz="4" w:space="0"/>
            </w:tcBorders>
            <w:tcW w:w="248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W w:w="462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3. Удельная величина потребления горячей воды в многоквартирных домах на 1 проживающего, м3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1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18,34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18,34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18,34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18,34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18,34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gridAfter w:val="1"/>
          <w:trHeight w:val="573"/>
        </w:trPr>
        <w:tc>
          <w:tcPr>
            <w:tcBorders>
              <w:bottom w:val="single" w:color="auto" w:sz="4" w:space="0"/>
            </w:tcBorders>
            <w:tcW w:w="248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W w:w="462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4. Удельная величина потребления холодной воды в многоквартирных домах на 1 проживающего, м3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1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36,39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36,39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36,39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36,39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36,39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gridAfter w:val="1"/>
          <w:trHeight w:val="1054"/>
        </w:trPr>
        <w:tc>
          <w:tcPr>
            <w:tcBorders>
              <w:bottom w:val="single" w:color="auto" w:sz="4" w:space="0"/>
            </w:tcBorders>
            <w:tcW w:w="248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Borders>
              <w:bottom w:val="single" w:color="auto" w:sz="4" w:space="0"/>
            </w:tcBorders>
            <w:tcW w:w="462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квт.ч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1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96,5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96,6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96,6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96,6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96,6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gridAfter w:val="1"/>
          <w:trHeight w:val="1267"/>
        </w:trPr>
        <w:tc>
          <w:tcPr>
            <w:tcBorders>
              <w:bottom w:val="single" w:color="auto" w:sz="4" w:space="0"/>
            </w:tcBorders>
            <w:tcW w:w="248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Borders>
              <w:bottom w:val="single" w:color="auto" w:sz="4" w:space="0"/>
            </w:tcBorders>
            <w:tcW w:w="462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6. Удельная величина потребления тепловой энергии муниципальными бюджетными учреждениями и органами местного самоуправления на 1 кв. м общей площади,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гигакал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1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0,216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0,216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0,216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0,216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0,216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gridAfter w:val="1"/>
          <w:trHeight w:val="407"/>
        </w:trPr>
        <w:tc>
          <w:tcPr>
            <w:tcBorders>
              <w:bottom w:val="single" w:color="auto" w:sz="4" w:space="0"/>
            </w:tcBorders>
            <w:tcW w:w="248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Borders>
              <w:top w:val="single" w:color="auto" w:sz="4" w:space="0"/>
            </w:tcBorders>
            <w:tcW w:w="462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1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0,96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0,96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0,96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0,96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0,96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gridAfter w:val="1"/>
          <w:trHeight w:val="1138"/>
        </w:trPr>
        <w:tc>
          <w:tcPr>
            <w:tcBorders>
              <w:bottom w:val="single" w:color="auto" w:sz="4" w:space="0"/>
            </w:tcBorders>
            <w:tcW w:w="248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Borders>
              <w:bottom w:val="single" w:color="auto" w:sz="4" w:space="0"/>
            </w:tcBorders>
            <w:tcW w:w="462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1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1,76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1,76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1,76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1,76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1,76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488" w:type="dxa"/>
            <w:vMerge w:val="restart"/>
            <w:textDirection w:val="lrTb"/>
            <w:noWrap w:val="false"/>
          </w:tcPr>
          <w:p>
            <w:pPr>
              <w:ind w:left="49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Задачи Программы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20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1. Экономия потребления энергетических ресурсов в муниципальном и жилищном секторах с использованием энергосберегающих приборов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88" w:type="dxa"/>
            <w:vMerge w:val="continue"/>
            <w:textDirection w:val="lrTb"/>
            <w:noWrap w:val="false"/>
          </w:tcPr>
          <w:p>
            <w:pPr>
              <w:ind w:left="49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20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2. Повышение эффективности снабжения организаций и населения ЗАТО Северск энергетическими ресурсами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71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488" w:type="dxa"/>
            <w:vMerge w:val="restart"/>
            <w:textDirection w:val="lrTb"/>
            <w:noWrap w:val="false"/>
          </w:tcPr>
          <w:p>
            <w:pPr>
              <w:ind w:left="49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Объем финансирования Программы, всего, в т.ч. по годам реализации Программы, тыс. руб.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20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Подпрограмма 1 «Повышение энергетической эффективности в муниципальном жилищном секторе»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488" w:type="dxa"/>
            <w:vMerge w:val="continue"/>
            <w:textDirection w:val="lrTb"/>
            <w:noWrap w:val="false"/>
          </w:tcPr>
          <w:p>
            <w:pPr>
              <w:ind w:left="49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20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Подпрограмма 2 «Развитие сетей энергоснабжения в ЗАТО Северск»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88" w:type="dxa"/>
            <w:vMerge w:val="continue"/>
            <w:textDirection w:val="lrTb"/>
            <w:noWrap w:val="false"/>
          </w:tcPr>
          <w:p>
            <w:pPr>
              <w:ind w:left="49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20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Подпрограмма 3 «Обеспечивающая подпрограмма»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88" w:type="dxa"/>
            <w:vMerge w:val="restart"/>
            <w:textDirection w:val="lrTb"/>
            <w:noWrap w:val="false"/>
          </w:tcPr>
          <w:p>
            <w:pPr>
              <w:ind w:left="49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Объем финансирования Программы, всего, в т.ч. по годам реализации Программы, тыс. руб.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0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Источники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</w:tcBorders>
            <w:tcW w:w="15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Всего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W w:w="1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2025 год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W w:w="14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2026 год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W w:w="14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2027 год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W w:w="1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2028 год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(прогноз-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ный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период)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</w:p>
        </w:tc>
        <w:tc>
          <w:tcPr>
            <w:gridSpan w:val="3"/>
            <w:tcW w:w="17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2029 год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(прогноз-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ный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период)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5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8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8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Местный бюджет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(потребность (прогноз)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36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217 011,67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9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58 043,42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8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100 943,15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8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61 992,63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09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60 343,33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gridSpan w:val="3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93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60 343,33</w:t>
            </w:r>
            <w:r>
              <w:rPr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8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8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36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161 151,79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9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58 043,42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8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60 070,57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8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43 037,80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09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43 037,80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93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30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8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8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Другие источники: 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36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 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9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 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8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 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8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 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09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 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93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 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5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8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8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федеральный бюджет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(потребность (прогноз)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36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9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8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8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09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0,00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93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8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8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федеральный бюджет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36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9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8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8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09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0,00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93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8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8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бюджет Томской области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(потребность (прогноз)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36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138 495,90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9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8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138 495,90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8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09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0,00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93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8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8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бюджет Томской области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36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9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8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8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09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0,00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93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8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088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внебюджетные источники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36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9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8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8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09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0,00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93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6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8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088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Всего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36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161 151,79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9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58 043,42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8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60 070,57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8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43 037,80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43 037,80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93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60 343,33</w:t>
            </w:r>
            <w:r>
              <w:rPr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</w:p>
        </w:tc>
      </w:tr>
    </w:tbl>
    <w:p>
      <w:pPr>
        <w:tabs>
          <w:tab w:val="left" w:pos="1275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6838" w:h="11906" w:orient="landscape"/>
      <w:pgMar w:top="1701" w:right="1134" w:bottom="567" w:left="1134" w:header="709" w:footer="283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 CYR">
    <w:panose1 w:val="02020603050405020304"/>
  </w:font>
  <w:font w:name="Tahoma">
    <w:panose1 w:val="020B0604030504040204"/>
  </w:font>
  <w:font w:name="Times New Roman">
    <w:panose1 w:val="02020603050405020304"/>
  </w:font>
  <w:font w:name="Liberation Sans">
    <w:panose1 w:val="020B0604020202020204"/>
  </w:font>
  <w:font w:name="Arial">
    <w:panose1 w:val="020B0604020202020204"/>
  </w:font>
  <w:font w:name="PT Astra Serif">
    <w:panose1 w:val="020A0603040505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2"/>
      <w:tabs>
        <w:tab w:val="left" w:pos="1245" w:leader="none"/>
        <w:tab w:val="clear" w:pos="4677" w:leader="none"/>
        <w:tab w:val="clear" w:pos="9355" w:leader="none"/>
      </w:tabs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0" w:line="240" w:lineRule="auto"/>
      <w:tabs>
        <w:tab w:val="center" w:pos="4677" w:leader="none"/>
        <w:tab w:val="right" w:pos="9355" w:leader="none"/>
      </w:tabs>
      <w:rPr>
        <w:rFonts w:ascii="Times New Roman CYR" w:hAnsi="Times New Roman CYR" w:eastAsia="Times New Roman" w:cs="Times New Roman"/>
        <w:sz w:val="16"/>
        <w:szCs w:val="20"/>
        <w:lang w:eastAsia="ru-RU"/>
      </w:rPr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 0368068</w:t>
    </w:r>
    <w:r>
      <w:rPr>
        <w:rFonts w:ascii="Times New Roman CYR" w:hAnsi="Times New Roman CYR" w:eastAsia="Times New Roman" w:cs="Times New Roman"/>
        <w:sz w:val="16"/>
        <w:szCs w:val="20"/>
        <w:lang w:eastAsia="ru-RU"/>
      </w:rPr>
    </w:r>
  </w:p>
  <w:p>
    <w:pPr>
      <w:pStyle w:val="71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226748751"/>
      <w:docPartObj>
        <w:docPartGallery w:val="Page Numbers (Top of Page)"/>
        <w:docPartUnique w:val="true"/>
      </w:docPartObj>
      <w:rPr/>
    </w:sdtPr>
    <w:sdtContent>
      <w:p>
        <w:pPr>
          <w:pStyle w:val="710"/>
          <w:jc w:val="center"/>
          <w:rPr>
            <w:rFonts w:ascii="Times New Roman" w:hAnsi="Times New Roman" w:cs="Times New Roman"/>
            <w:szCs w:val="24"/>
          </w:rPr>
        </w:pPr>
        <w:r>
          <w:rPr>
            <w:rFonts w:ascii="Times New Roman" w:hAnsi="Times New Roman" w:cs="Times New Roman"/>
            <w:szCs w:val="24"/>
          </w:rPr>
          <w:fldChar w:fldCharType="begin"/>
        </w:r>
        <w:r>
          <w:rPr>
            <w:rFonts w:ascii="Times New Roman" w:hAnsi="Times New Roman" w:cs="Times New Roman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Cs w:val="24"/>
          </w:rPr>
          <w:fldChar w:fldCharType="separate"/>
        </w:r>
        <w:r>
          <w:rPr>
            <w:rFonts w:ascii="Times New Roman" w:hAnsi="Times New Roman" w:cs="Times New Roman"/>
            <w:szCs w:val="24"/>
          </w:rPr>
          <w:t xml:space="preserve">2</w:t>
        </w:r>
        <w:r>
          <w:rPr>
            <w:rFonts w:ascii="Times New Roman" w:hAnsi="Times New Roman" w:cs="Times New Roman"/>
            <w:szCs w:val="24"/>
          </w:rPr>
          <w:fldChar w:fldCharType="end"/>
        </w:r>
        <w:r>
          <w:rPr>
            <w:rFonts w:ascii="Times New Roman" w:hAnsi="Times New Roman" w:cs="Times New Roman"/>
            <w:szCs w:val="24"/>
          </w:rPr>
        </w:r>
      </w:p>
    </w:sdtContent>
  </w:sdt>
  <w:p>
    <w:pPr>
      <w:pStyle w:val="710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cs="Arial" w:eastAsiaTheme="minorHAnsi"/>
        <w:color w:val="000000"/>
        <w:sz w:val="24"/>
        <w:szCs w:val="28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706"/>
    <w:next w:val="706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707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706"/>
    <w:next w:val="706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707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706"/>
    <w:next w:val="706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707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706"/>
    <w:next w:val="706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707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706"/>
    <w:next w:val="706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707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706"/>
    <w:next w:val="706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707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706"/>
    <w:next w:val="706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707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706"/>
    <w:next w:val="706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707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706"/>
    <w:next w:val="706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707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706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706"/>
    <w:next w:val="706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707"/>
    <w:link w:val="35"/>
    <w:uiPriority w:val="10"/>
    <w:rPr>
      <w:sz w:val="48"/>
      <w:szCs w:val="48"/>
    </w:rPr>
  </w:style>
  <w:style w:type="paragraph" w:styleId="37">
    <w:name w:val="Subtitle"/>
    <w:basedOn w:val="706"/>
    <w:next w:val="706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707"/>
    <w:link w:val="37"/>
    <w:uiPriority w:val="11"/>
    <w:rPr>
      <w:sz w:val="24"/>
      <w:szCs w:val="24"/>
    </w:rPr>
  </w:style>
  <w:style w:type="paragraph" w:styleId="39">
    <w:name w:val="Quote"/>
    <w:basedOn w:val="706"/>
    <w:next w:val="706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706"/>
    <w:next w:val="706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707"/>
    <w:link w:val="710"/>
    <w:uiPriority w:val="99"/>
  </w:style>
  <w:style w:type="character" w:styleId="46">
    <w:name w:val="Footer Char"/>
    <w:basedOn w:val="707"/>
    <w:link w:val="712"/>
    <w:uiPriority w:val="99"/>
  </w:style>
  <w:style w:type="paragraph" w:styleId="47">
    <w:name w:val="Caption"/>
    <w:basedOn w:val="706"/>
    <w:next w:val="706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707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70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70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70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70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7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7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7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7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7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7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7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49">
    <w:name w:val="List Table 7 Colorful - Accent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50">
    <w:name w:val="List Table 7 Colorful - Accent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51">
    <w:name w:val="List Table 7 Colorful - Accent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52">
    <w:name w:val="List Table 7 Colorful - Accent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53">
    <w:name w:val="List Table 7 Colorful - Accent 6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54">
    <w:name w:val="Lined - Accent"/>
    <w:basedOn w:val="7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7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6">
    <w:name w:val="Lined - Accent 2"/>
    <w:basedOn w:val="7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7">
    <w:name w:val="Lined - Accent 3"/>
    <w:basedOn w:val="7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8">
    <w:name w:val="Lined - Accent 4"/>
    <w:basedOn w:val="7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9">
    <w:name w:val="Lined - Accent 5"/>
    <w:basedOn w:val="7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0">
    <w:name w:val="Lined - Accent 6"/>
    <w:basedOn w:val="7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1">
    <w:name w:val="Bordered &amp; Lined - Accent"/>
    <w:basedOn w:val="7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7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3">
    <w:name w:val="Bordered &amp; Lined - Accent 2"/>
    <w:basedOn w:val="7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4">
    <w:name w:val="Bordered &amp; Lined - Accent 3"/>
    <w:basedOn w:val="7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5">
    <w:name w:val="Bordered &amp; Lined - Accent 4"/>
    <w:basedOn w:val="7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6">
    <w:name w:val="Bordered &amp; Lined - Accent 5"/>
    <w:basedOn w:val="7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7">
    <w:name w:val="Bordered &amp; Lined - Accent 6"/>
    <w:basedOn w:val="7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8">
    <w:name w:val="Bordered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706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707"/>
    <w:uiPriority w:val="99"/>
    <w:unhideWhenUsed/>
    <w:rPr>
      <w:vertAlign w:val="superscript"/>
    </w:rPr>
  </w:style>
  <w:style w:type="paragraph" w:styleId="179">
    <w:name w:val="endnote text"/>
    <w:basedOn w:val="706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707"/>
    <w:uiPriority w:val="99"/>
    <w:semiHidden/>
    <w:unhideWhenUsed/>
    <w:rPr>
      <w:vertAlign w:val="superscript"/>
    </w:rPr>
  </w:style>
  <w:style w:type="paragraph" w:styleId="182">
    <w:name w:val="toc 1"/>
    <w:basedOn w:val="706"/>
    <w:next w:val="706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706"/>
    <w:next w:val="706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706"/>
    <w:next w:val="706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706"/>
    <w:next w:val="706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706"/>
    <w:next w:val="706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706"/>
    <w:next w:val="706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706"/>
    <w:next w:val="706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706"/>
    <w:next w:val="706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706"/>
    <w:next w:val="706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706"/>
    <w:next w:val="706"/>
    <w:uiPriority w:val="99"/>
    <w:unhideWhenUsed/>
    <w:pPr>
      <w:spacing w:after="0" w:afterAutospacing="0"/>
    </w:pPr>
  </w:style>
  <w:style w:type="paragraph" w:styleId="706" w:default="1">
    <w:name w:val="Normal"/>
    <w:qFormat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styleId="707" w:default="1">
    <w:name w:val="Default Paragraph Font"/>
    <w:uiPriority w:val="1"/>
    <w:semiHidden/>
    <w:unhideWhenUsed/>
  </w:style>
  <w:style w:type="table" w:styleId="70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9" w:default="1">
    <w:name w:val="No List"/>
    <w:uiPriority w:val="99"/>
    <w:semiHidden/>
    <w:unhideWhenUsed/>
  </w:style>
  <w:style w:type="paragraph" w:styleId="710">
    <w:name w:val="Header"/>
    <w:basedOn w:val="706"/>
    <w:link w:val="711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  <w:rPr>
      <w:rFonts w:ascii="PT Astra Serif" w:hAnsi="PT Astra Serif" w:cs="Arial"/>
      <w:color w:val="000000"/>
      <w:sz w:val="24"/>
      <w:szCs w:val="28"/>
    </w:rPr>
  </w:style>
  <w:style w:type="character" w:styleId="711" w:customStyle="1">
    <w:name w:val="Верхний колонтитул Знак"/>
    <w:basedOn w:val="707"/>
    <w:link w:val="710"/>
    <w:uiPriority w:val="99"/>
  </w:style>
  <w:style w:type="paragraph" w:styleId="712">
    <w:name w:val="Footer"/>
    <w:basedOn w:val="706"/>
    <w:link w:val="713"/>
    <w:unhideWhenUsed/>
    <w:pPr>
      <w:spacing w:after="0" w:line="240" w:lineRule="auto"/>
      <w:tabs>
        <w:tab w:val="center" w:pos="4677" w:leader="none"/>
        <w:tab w:val="right" w:pos="9355" w:leader="none"/>
      </w:tabs>
    </w:pPr>
    <w:rPr>
      <w:rFonts w:ascii="PT Astra Serif" w:hAnsi="PT Astra Serif" w:cs="Arial"/>
      <w:color w:val="000000"/>
      <w:sz w:val="24"/>
      <w:szCs w:val="28"/>
    </w:rPr>
  </w:style>
  <w:style w:type="character" w:styleId="713" w:customStyle="1">
    <w:name w:val="Нижний колонтитул Знак"/>
    <w:basedOn w:val="707"/>
    <w:link w:val="712"/>
  </w:style>
  <w:style w:type="paragraph" w:styleId="714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/>
      <w:color w:val="auto"/>
      <w:sz w:val="20"/>
      <w:szCs w:val="20"/>
      <w:lang w:eastAsia="ru-RU"/>
    </w:rPr>
  </w:style>
  <w:style w:type="character" w:styleId="715">
    <w:name w:val="annotation reference"/>
    <w:basedOn w:val="707"/>
    <w:uiPriority w:val="99"/>
    <w:semiHidden/>
    <w:unhideWhenUsed/>
    <w:rPr>
      <w:sz w:val="16"/>
      <w:szCs w:val="16"/>
    </w:rPr>
  </w:style>
  <w:style w:type="paragraph" w:styleId="716">
    <w:name w:val="annotation text"/>
    <w:basedOn w:val="706"/>
    <w:link w:val="717"/>
    <w:uiPriority w:val="99"/>
    <w:semiHidden/>
    <w:unhideWhenUsed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styleId="717" w:customStyle="1">
    <w:name w:val="Текст примечания Знак"/>
    <w:basedOn w:val="707"/>
    <w:link w:val="716"/>
    <w:uiPriority w:val="99"/>
    <w:semiHidden/>
    <w:rPr>
      <w:sz w:val="20"/>
      <w:szCs w:val="20"/>
    </w:rPr>
  </w:style>
  <w:style w:type="paragraph" w:styleId="718">
    <w:name w:val="annotation subject"/>
    <w:basedOn w:val="716"/>
    <w:next w:val="716"/>
    <w:link w:val="719"/>
    <w:uiPriority w:val="99"/>
    <w:semiHidden/>
    <w:unhideWhenUsed/>
    <w:rPr>
      <w:b/>
      <w:bCs/>
    </w:rPr>
  </w:style>
  <w:style w:type="character" w:styleId="719" w:customStyle="1">
    <w:name w:val="Тема примечания Знак"/>
    <w:basedOn w:val="717"/>
    <w:link w:val="718"/>
    <w:uiPriority w:val="99"/>
    <w:semiHidden/>
    <w:rPr>
      <w:b/>
      <w:bCs/>
      <w:sz w:val="20"/>
      <w:szCs w:val="20"/>
    </w:rPr>
  </w:style>
  <w:style w:type="paragraph" w:styleId="720">
    <w:name w:val="Balloon Text"/>
    <w:basedOn w:val="706"/>
    <w:link w:val="721"/>
    <w:uiPriority w:val="99"/>
    <w:semiHidden/>
    <w:unhideWhenUsed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styleId="721" w:customStyle="1">
    <w:name w:val="Текст выноски Знак"/>
    <w:basedOn w:val="707"/>
    <w:link w:val="720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Zhivotyagina</cp:lastModifiedBy>
  <cp:revision>190</cp:revision>
  <dcterms:created xsi:type="dcterms:W3CDTF">2022-03-29T05:09:00Z</dcterms:created>
  <dcterms:modified xsi:type="dcterms:W3CDTF">2026-09-28T03:16:47Z</dcterms:modified>
</cp:coreProperties>
</file>