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1000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Администрации ЗАТО Северск от 10.12.2024 № 4687-па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со статьей 42 Устава городского округа ЗАТО Северск Томской области, в целях приведения нормативного правового акта в соответствие с действующим законодательством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Внести в постановление Администрации ЗАТО Северск от 10.12.2024 № 4687-па «Об утверждении Лесохозяйственного регламента Лесничества ЗАТО Северск» следующие изменения: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Лесохозяйственном регламенте Лесничества ЗАТО Северск, утвержденном указанным постановлением: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 в подразделе «Перечень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абзацы одиннадцатый, двенадцатый пункта 7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23 мая 2026 г. № 591 «Об утверждении Правил пожарной безопасности в лесах»;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30 мая 2026 г. № 652 «Об утверждении Правил санитарной безопасности в лесах»;»;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в пункте 9: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абзацы тринадцатый - пятнадцатый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с установлением или без установления сервитут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а, публичного сервитута»;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09.04.2026 № 198 «Об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недр, разведки и добычи полезных ископаемых без предоставления лесного участка, с установлением или без установления сервитута»;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27.03.2026 № 170 «Об утверждении Правил использования лесов для строительства, реконструкции, эксплуатации линейных объектов и Перечня случаев использования лесов в указанных целях без предоставления лесного участка, с установлен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ием или без установления сервитута, публичного сервитута»;»;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абзацы семнадцатый - двадцатый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23.03.2026 № 154 «Об утверждении Правил заготовки пищевых лесных ресурсов и сбора лекарственных растений»;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11.03.2026 № 126 «Об утверждении Правил заготовки и сбора недревесных лесных ресурсов»;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17.03.2026 № 139 «Об утверждении Правил использования лесов для выращивания лесных плодовых, ягодных, декоративных растений, лекарственных растений»;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09.04.2026 № 200 «Об утверждении Правил ухода за лесами»;»;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абзац двадцать третий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17.03.2026 № 140 «Об утверждении Правил использования лесов для осуществления рекреационной деятельности»;»;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 абзацы двадцать пятый - двадцать девятый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24.02.2026 № 97 «Об утверждении порядка проведения лесопатологических обследований и формы акта лесопатологического обследования»;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05.03.2026 № 117 «Об утверждении Правил заготовки живицы»;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25.03.2026 № 162 «Об утверждении Правил осуществления мероприятий по предупреждению распространения вредных организмов»;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01.11.2025 № 586 «Об утверждении Правил ликвидации очагов вредных организмов»;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дополнить абзацем следующего содержания: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23.01.2025 № 38 «Об утверждении классификации природной пожарной опасности лесов»;»;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пункт 27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«27) лесоустроительными материалами Лесничества ЗАТО Северск 2023, 2026 годов.»;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таблицу 4 подраздела 1.1.6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tbl>
      <w:tblPr>
        <w:tblStyle w:val="100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212"/>
        <w:gridCol w:w="1757"/>
        <w:gridCol w:w="1783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«Показатели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характеристики земель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5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 по лесничеству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площадь,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%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Общая площадь земель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8838,0508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100,0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Лесные земли, всего: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8186,0165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92,6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земли, покрытые лесной растительностью, 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2724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92,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 том числе лесные культуры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49,1346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земли, не покрытые лесной растительностью, 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гари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погибшие насаждения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вырубки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прогалины, пустыри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,1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Нелесные земли, 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652,0343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7,4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просеки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  <w:highlight w:val="yellow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дороги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  <w:t xml:space="preserve">37,0601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болота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524,2180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5,9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6212" w:type="dxa"/>
            <w:vAlign w:val="top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  <w:highlight w:val="yellow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  <w:t xml:space="preserve">другие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5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90,7562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1,0»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3) абзац второй подраздела 1.1.10.1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007"/>
        <w:ind w:firstLine="709"/>
        <w:jc w:val="both"/>
        <w:widowControl w:val="o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</w:t>
      </w:r>
      <w:r>
        <w:rPr>
          <w:rFonts w:ascii="PT Astra Serif" w:hAnsi="PT Astra Serif" w:eastAsia="PT Astra Serif" w:cs="PT Astra Serif"/>
          <w:highlight w:val="white"/>
        </w:rPr>
        <w:t xml:space="preserve">Протяженность дорог, проходящих непосредственно по территории лесничества, составляет 48 км, в том числе автомобильные дороги с твердым покрытием – 6,2 </w:t>
      </w:r>
      <w:r>
        <w:rPr>
          <w:rFonts w:ascii="PT Astra Serif" w:hAnsi="PT Astra Serif" w:eastAsia="PT Astra Serif" w:cs="PT Astra Serif"/>
          <w:highlight w:val="white"/>
        </w:rPr>
        <w:t xml:space="preserve">км, грунтовые дороги – 41,8 км. </w:t>
      </w:r>
      <w:r>
        <w:rPr>
          <w:rFonts w:ascii="PT Astra Serif" w:hAnsi="PT Astra Serif" w:eastAsia="PT Astra Serif" w:cs="PT Astra Serif"/>
          <w:highlight w:val="white"/>
        </w:rPr>
        <w:t xml:space="preserve">Параметры объектов лесной инфраструктуры, связанных со строительством дорог и дорожных сооружений, должны соответствовать требованиям СП 288.1325800.2016 «Дороги лесные.</w:t>
      </w:r>
      <w:r>
        <w:rPr>
          <w:rFonts w:ascii="PT Astra Serif" w:hAnsi="PT Astra Serif" w:eastAsia="PT Astra Serif" w:cs="PT Astra Serif"/>
        </w:rPr>
        <w:t xml:space="preserve"> Правила проектирования и строительства», утвержденным </w:t>
      </w:r>
      <w:hyperlink r:id="rId14" w:tooltip="https://docs.cntd.ru/document/456069184#64U0IK" w:anchor="64U0IK" w:history="1">
        <w:r>
          <w:rPr>
            <w:rFonts w:ascii="PT Astra Serif" w:hAnsi="PT Astra Serif" w:eastAsia="PT Astra Serif" w:cs="PT Astra Serif"/>
          </w:rPr>
          <w:t xml:space="preserve">приказом Министерства строительства и жилищно-коммунального хозяйства Российской Федерации от 16.12.2016 № 952/</w:t>
        </w:r>
        <w:r>
          <w:rPr>
            <w:rFonts w:ascii="PT Astra Serif" w:hAnsi="PT Astra Serif" w:eastAsia="PT Astra Serif" w:cs="PT Astra Serif"/>
          </w:rPr>
          <w:t xml:space="preserve">пр</w:t>
        </w:r>
      </w:hyperlink>
      <w:r>
        <w:rPr>
          <w:rFonts w:ascii="PT Astra Serif" w:hAnsi="PT Astra Serif" w:eastAsia="PT Astra Serif" w:cs="PT Astra Serif"/>
        </w:rPr>
        <w:t xml:space="preserve">, постановления Правительства Российской Федерации от 02.09.2009 № 717 «О нормах отвода земель для размещения автомобильных дорог и (или) объектов дорожного сервиса».</w:t>
      </w:r>
      <w:r>
        <w:rPr>
          <w:rFonts w:ascii="PT Astra Serif" w:hAnsi="PT Astra Serif" w:eastAsia="PT Astra Serif" w:cs="PT Astra Serif"/>
        </w:rPr>
        <w:t xml:space="preserve">»;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пункт 2 подраздела 1.1.10.3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х портов;»;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5) в  подразделе 2.1.1: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абзаце втором слова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01.12.2020 № 993» заменить словами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13.04.2026 № 211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абзацы третий, четвертый изложить в 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огласно пункту 34 Правил заготовки древесины сплошные и выборочные рубки на землях населенных пунктов, на которых расположены городские леса, осуществляются в целях формирования ландшафтов, обеспечения устойчивости и сохранения рекреационной привлекательно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сти лесных насаждений, а также размещения объектов рекреационной инфраструктуры.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рубке лесных насаждений на землях населенных пунктов, на которых расположены городские леса, не применяются пункты 8 - 10, 12, 13, 25 - 32 Правил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заготовки древесины, что исключает возможность предоставление гражданам и юридическим лицам лесных участков в целях заготовки древесины для осуществления предпринимательской деятельности.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в) в абзаце шестом, девятом цифры «53» заменить цифрами «34»;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6)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 подразделе 2.1.2: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абзаце первом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слова «от 30.07.2020 № 534» заменить словами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09.04.2026 № 200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абзац шестой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кедровых лесах с классом возраста 40 лет проходные рубки должны вестись до 120-летнего возраста.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7)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подразделы 2.1.6 - 2.1.7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010"/>
        <w:keepLines w:val="0"/>
        <w:keepNext w:val="0"/>
        <w:spacing w:before="0" w:after="0" w:line="240" w:lineRule="auto"/>
        <w:widowControl w:val="off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2.1.6. 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Размеры лесосек</w:t>
      </w:r>
      <w:bookmarkEnd w:id="0"/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приложению 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Правилам заготовки древесины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предельные (максимальные) значения площади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лесосек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Западно-Сибирскому южно-таежному равнинному лесному району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защитных лесах составляет: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добровольно-выборочных рубок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40 га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для группово-выборочных рубок – 25 га;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для равномерно-постепенных рубок – 20 га;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для группово-постепенных рубок – 15 га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0"/>
        <w:keepLines w:val="0"/>
        <w:keepNext w:val="0"/>
        <w:spacing w:before="0" w:after="0" w:line="240" w:lineRule="auto"/>
        <w:widowControl w:val="off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2.1.7.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Сроки примыкания лесосек</w:t>
      </w:r>
      <w:bookmarkEnd w:id="0"/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009"/>
        <w:ind w:firstLine="708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пункту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Правил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заготовки древесины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роки примыкания лесосек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выборочных рубках спелых и перестойных насаждений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 устан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авливаются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8) в абзаце втором подраздела 2.3 слова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28.07.2020 № 496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 заменить словами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11.03.2026 № 126»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9) 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подразделе 2.3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.2: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в абзаце первом слова «от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28.07.2020 № 496» заменить словами «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11.03.2026 № 126»;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таблицу 13 изложить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в следующей редакции: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tbl>
      <w:tblPr>
        <w:tblW w:w="9639" w:type="dxa"/>
        <w:jc w:val="center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000" w:firstRow="0" w:lastRow="0" w:firstColumn="0" w:lastColumn="0" w:noHBand="0" w:noVBand="0"/>
      </w:tblPr>
      <w:tblGrid>
        <w:gridCol w:w="538"/>
        <w:gridCol w:w="2467"/>
        <w:gridCol w:w="2731"/>
        <w:gridCol w:w="3903"/>
      </w:tblGrid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Вид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недревесного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лесного ресурса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Сроки использования лесов для заготовки и сбора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недревесных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лесных ресурсов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Примечание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валежника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Пневый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осмол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лесах любого целевого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назначения, за исключением противоэрозионных лесов, берегозащитных, почвозащитных участках лесов, расположенных вдоль водных объектов, склонов оврагов, в лесах, имеющих научное или историко-культурное значение,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 также в молодняках с полнотой 0,8 - 1,0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несомкнувшихся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лесных культурах. Не допускается нанесение ущерба лесным насаждениям, подросту,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несомкнувшимся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лесным культурам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бересты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Производится с сухостойных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валежных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деревьев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continue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vMerge w:val="continue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Весенне-летний и осенний периоды (с марта по ноябрь)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Допускается с растущих деревьев без повреждения луба на отведенных в рубку лесных насаждениях, на лесных участках, подлежащих расчистке, а также со срубленных деревьев на лесосеках при проведении выборочных и сплошных рубок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коры деревьев и кустарников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Осуществляется одновременно с рубкой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ивовой коры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Весенне-летний период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(с марта по август)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Осуществляется одновременно с рубкой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хвороста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допускается обрубка сучьев и вершин 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сырорастущих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деревьев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vMerge w:val="restart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веточного корма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Лето (с июня по август)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Лиственные породы.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производится со срубленных деревьев при проведении выборочных и сплошных рубок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vMerge w:val="continue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vMerge w:val="continue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Хвойные породы.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производится со срубленных деревьев при проведении выборочных и сплошных рубок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мха, камыша, тростника и подобных лесных ресурсов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конце летнего периода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лесной подстилки, опавших листьев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конце летнего периода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Разрешается производить на одной и той же площади не чаще одного раза в пять лет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веников, ветвей и кустарников лиственных пород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Производится на лесных участках, подлежащих расчистке, а также со срубленных деревьев на лесосеках при проведении выборочных и сплошных рубок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" w:type="dxa"/>
            <w:textDirection w:val="lrTb"/>
            <w:noWrap w:val="false"/>
          </w:tcPr>
          <w:p>
            <w:pPr>
              <w:pStyle w:val="1009"/>
              <w:ind w:firstLine="0"/>
              <w:jc w:val="center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67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Заготовка древесной зелени 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1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Круглый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3" w:type="dxa"/>
            <w:textDirection w:val="lrTb"/>
            <w:noWrap w:val="false"/>
          </w:tcPr>
          <w:p>
            <w:pPr>
              <w:pStyle w:val="1009"/>
              <w:ind w:firstLine="0"/>
              <w:jc w:val="left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Разрешается только со срубленных деревьев на лесосеках»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10) в абзаце первом подраздела 2.4 слова «от 28.07.2020 № 494» заменить словами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23.03.2026 № 154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11)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подраздел 2.9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2.9. Нормативы, параметры и сроки использования городских лесов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для осуществления рекреационной деятельности (допустимая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рекреационная нагрузка по типам ландшафта и другое)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Использование лесов для осуществления рекреационной деятельности определяется статьей 41 Лесного кодекса и Правилами использования лесов для осуществления рекреационной деятельности, утвержденными приказом Министерства природных ресурсо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и экологии Российской Федерации от 17.03.2026 № 140 «Об утверждении правил использования лесов для осуществления рекреационной деятельности».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спользование лесов для осуществления рекреационной деятельности, связанной с выполнением работ и оказанием услуг в сфере туризма, физической культуры и спорта, организации отдыха и укрепления здоровья граждан, осуществляется с предоставлением лесных участк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ов.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Лица, использующие леса для осуществления рекреационной деятельности, имеют право: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создавать лесную инфраструктуру, в том числе лесные дороги;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 на части площади, не превышающей 20 процентов площади предоставленного для осуществления рекреационной деятельности лесного участка, общей площадью, не превышающей одного гектара и не занятой лесными насаждениями, осуществлять строительство, реконструкцию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эксплуатацию объектов капитального строительства для оказания услуг в сфере туризма, физической культуры и спорта, организации отдыха и укрепления здоровья граждан, а также возведение, эксплуатацию и демонтаж для указанных целей некапитальных строений, 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ооружений, предусмотренных перечнем объектов капитального строительства, не связанных с созданием лесной инфраструктуры, и перечнем некапитальных строений, сооружений, не связанных с созданием лесной инфраструктуры.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осуществлении рекреационной деятельности в лесах размещение объектов капитального строительства и некапитальных строений, сооружений допускается на участках, не занятых лесными насаждениями.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осуществлении в лесах деятельности, предусмотренной частью 2 статьи 41 Лесного кодекса, и размещении предусмотренных частью 3 статьи 41 Лесного кодекса объектов не допускается создание объектов, являющихся местами жительства физических лиц.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Согласно пункту 5 части 2 статьи 116 Лесного кодекса в городских лесах запрещается строительство объектов капитального строительства, за исключением велосипедных, велопешеходных, пешеходных и беговых дорожек, лыжных и роллерных трасс, 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сли такие объекты являются объектами капитального строительства, и гидротехнических сооружений.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Запрещение или ограничение пребывания граждан в лесах по основаниям, не предусмотренным статьей 11 Лесного кодекса, не допускается.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Для осуществления рекреационной деятельности лесные участки предоставляются государственным учреждениям, муниципальным учреждениям в постоянное (бессрочное) пользование, другим юридическим лицам, индивидуальным предпринимателям в аренду.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Срок использования лесов на основании договоров аренды лесных участков устанавливается в соответствии с частью 3 статьи 72 Лесного кодекса.»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12) подраздел 2.14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.14. Нормативы, параметры и сроки использования городских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ных водных объектов, создания и расширения территорий морских и речных портов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соответствии со статьей 3 Федерального закона от 21.07.1997  № 117-ФЗ «О безопасности гидротехнических сооружений» к гидротехническим сооружениям относятся плотины, здания гидроэлектростанций, водосбросные, водоспускные и водовыпускные сооружения, туннели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каналы, насосные станции, судоходные шлюзы, судоподъемники; сооружения, предназначенные для инженерной защиты территорий и объектов от негативного воздействия вод; сооружения (дамбы), ограждающие хранилища жидких отходов промышленных и сельскохозяйственны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организаций; устройства от размывов на каналах, а также другие сооружения, здания, устройства и иные объекты, предназначенные для использования водных ресурсов и предотвращения негативного воздействия жидких отходов, за исключением объектов централизованн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ых систем горячего водоснабжения, холодного водоснабжения и (или) водоотведения, предусмотренных Федеральным законом от 7 декабря 2011 года № 416-ФЗ «О водоснабжении и водоотведении», и портовых гидротехнических сооружений.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соответствии с пунктом 5 части 2 статьи 116 Лесного кодекса в городских лесах запрещается строительство объектов капитального строительства, за исключением гидротехнических сооружений.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 (статья 44 Лесного кодекса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Лесные участки, находящиеся в государственной или муниципальной собственности, предоставляются юридическим лицам, индивидуальным предпринимателям в соответствии со статьей 9 Лесного кодекса для строительства, реконструкции и эксплуатации гидротехнических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ри использовании лесов в указанных целях (в том числе в целях проведения аварийно-спасательных работ),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беспечения безопасности граждан и создания необходимых условий для эксплуатации соответствующих объектов (часть 5 статьи 21 Лесного кодекса).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тех случаях, когда арендаторам разрешается осуществлять рубку деревьев на предоставленных участках с одновременным приобретением права собственности на древесину, они обязаны оформить ее в порядке, предусмотренном Лесным кодексом.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13) подраздел 2.15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2.15. Нормативы, параметры и сроки использования городских лесов для строительства, реконструкции, эксплуатации линейных объектов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Использование лесов для строительства, реконструкции и эксплуатации линейных объектов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регламентируется статьями 21, 45 Лесного кодекса и приказом Министерства природных ресурсов и экологии Российской Федерации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27.03.2026 № 170 «Об утверждении Правил использования лесов для строительства, реконструкции, эксплуатации линейных объектов и Перечня случаев использования лесов в указанных целях без предоставления лесного участка, с установлением или без установления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сервитута, публичного сервитута» (далее – Правила использования лесов для строительства, реконструкции, эксплуатации линейных объектов).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соответствии с пунктом 5 части 2 статьи 116 Лесного кодекса в городских лесах запрещается строительство объектов капитального строительства, за исключением велосипедных, велопешеходных, пешеходных и беговых дорожек, лыжных и роллерных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трасс, если такие объекты являются объектами капитального строительства, и гидротехнических сооружений.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 сегодняшний день на территории лесничества имеются два участка (Северное участковое лесничество, квартал 30 выдел 26; Южное участковое лесничество, квартал 63 выдел 11, квартал 65 выдел 19), на территории, которых осуществляется эксплуатация линий электр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опередач, один участок (Южное участковое лесничество, квартал 39 выделы 14, 24, квартал 40 выдел 10, квартал 42 выдел 6, квартал 43 выдел 15), на территории которого проходят трассы коммуникаций, относящихся к объектам капитального строительства.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соответствии с Правилами использования лесов для строительства, реконструкции, эксплуатации линейных объектов в защитных лесах предусмотренные частью 5 статьи 21 Лесного кодекса выборочные рубки и сплошные рубки деревьев, кустарников, лиан допускаются в 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учаях, если строительство, реконструкция, капитальный ремонт и эксплуатация объектов капитального строительства, не связанных с созданием лесной инфраструктуры, для целей использования линейных объектов, не запрещены или не ограничены в соответствии с зако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нодательством Российской Федерации.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Лесные участки, находящиеся в государственной или муниципальной собственности, предоставляются гражданам, юридическим лицам в соответствии со статьей 9 Лесного кодекса для строительства линейных объектов.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есные участки, которые находятся в государственной или муниципальной собственности и на которых расположены линейные объекты, предоставляются на правах, предусмотренных статьей 9 Лесного кодекса, гражданам, юридическим лицам, имеющим в собственности, безво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змездном пользовании, аренде, хозяйственном ведении или оперативном управлении такие линейные объекты.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Использование лесов для строительства, реконструкции, эксплуатации линейных объектов осуществляется в соответствии со статьей 45 Лесного кодекса.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ы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правлении линейные объекты, осуществляются: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прокладка и содержание в безлесном состоянии просек вдоль и по периметру линейных объектов;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обрезка крон, вырубка и опиловка деревьев, высота которых превышает расстояние по прямой от дерева до крайней точки линейного объекта, сооружения, являющегося его неотъемлемой технологической частью, или крайней точки вертикальной проекции линейного объе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кта, увеличенное на 2 метра;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рубка сильноослабленных, усыхающих, сухостойных, ветровальных и буреломных деревьев, угрожающих падением на линейные объекты.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целях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целях использования лесов для строительства, реконструкции 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х и санитарно-защитных зонах, предназначенных для обеспечения безопасности граждан и создания необходимых условий для эксплуатации линейных объектов, сооружений, являющихся их неотъемлемой технологической частью.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защитных лесах предусмотренные частью 5 статьи 21 Лесного кодекса выборочные рубки и сплошные рубки деревьев, кустарников, лиан допускаются в случаях, если строительство, реконструкция, капитальный ремонт и эксплуатация объектов капитального строительства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не связанных с созданием лесной инфраструктуры, для целей использования линейных объектов, не запрещены или не ограничены в соответствии с законодательством Российской Федерации.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раждане, юридические лица, использующие леса для строительства, реконструкции, эксплуатации линейных объектов с предоставлением или без предоставления лесного участка, с установлением или без установления сервитута, публичного сервитута обязаны соблюдать 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ребования лесного законодательства, в том числе: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использовать лесной участок по целевому назначению в соответствии с Лесным кодексом, иными нормативными правовыми актами Российской Федерации, лесохозяйственным регламентом лесничества, на основании проекта освоения лесов, договора аренды лесного участка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договора безвозмездного пользования лесным участком, права постоянного (бессрочного) пользования, разрешения на использование земель или земельного участка, находящихся в государственной или муниципальной собственности, решения об установлении сервитута,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убличного сервитута или соглашения об установлении сервитута, соглашения об осуществлении публичного сервитута (при наличии) в соответствии с пунктом 3 Перечня случаев использования лесов для строительства, реконструкции, эксплуатации линейных объектов без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предоставления лесных участков, с установлением или без установления сервитута, публичного сервитута (приложение № 2 к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Правилам использования лесов для строительства, реконструкции, эксплуатации линейных объектов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осуществлять использование лесов для строительства, реконструкции, эксплуатации линейных объектов способами и технологиями, предотвращающими возникновение эрозии почв, деградацию земель, а также исключающими негативное воздействие нарушенных земель на ок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ружающую среду с целью дальнейшего использования земель по целевому назначению и разрешенному использованию и (или) проведения биологических мероприятий;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в) представлять органам государственной власти, органам местного самоуправления, уполномоченным в соответствии со статьями 81 - 84 Лесного кодекса, документы, предусмотренные Лесным кодексом, в соответствии с частью 1 статьи 93.5 Лесного кодекса;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г) составлять проект освоения лесов в соответствии с частью 1 статьи 88 Лесного кодекса;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после прекращения действия права постоянного (бессрочного) пользования, соглашения об установлении сервитута, решения об установлении публичного сервитута привести лесной участок в состояние, пригодное для его дальнейшего использования по целевому назнач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ению в соответствии с видом разрешенного использования.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использовании лесов в целях строительства, реконструкции, эксплуатации линейных объектов не допускается: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повреждение лесных насаждений, растительного покрова и почв за пределами земель, на которых осуществляется использование лесов, и охранной зоны линейных объектов, за исключением осуществления мероприятий, предусмотренных подпунктом «в» пункта 6 Правил ис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пользования лесов для строительства, реконструкции, эксплуатации линейных объектов;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захламление территорий, прилегающих к землям, на которых осуществляется использование лесов, строительным и бытовым мусором, отходами древесины;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в) загрязнение земель, на которых осуществляется использование лесов, и территорий, прилегающих к землям, на которых осуществляется использование лесов, химическими и радиоактивными веществами.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Граждане, юридические лица, использующие леса для строительства, реконструкции, эксплуатации линейных объектов, обеспечивают: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регулярное проведение очистки просеки, примыкающих опушек леса, искусственных и естественных водотоков от захламления строительными, лесосечными, бытовыми отходами, от загрязнения отходами производства, токсичными веществами;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восстановление нарушенных производственной деятельностью лесных дорог, осушительных канав, дренажных систем, шлюзов, мостов, других гидромелиоративных сооружений, квартальных столбов, квартальных просек;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принятие необходимых мер по устранению аварийных ситуаций, а также ликвидации их последствий.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240" w:lineRule="auto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14) подраздел 2.19.1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spacing w:after="0" w:afterAutospacing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  <w:t xml:space="preserve">2.19.1. Требования к мерам пожарной безопасности в городских лесах, охране городских лесов от загрязнения радиоактивными веществами и иного негативного воздействия</w:t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Требования к охране лесов от пожаров устанавливаются Лесным кодексом, а также постановлением 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равительства Российской Федерации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от 23.05.2026 № 591 «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Об ут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верждении Правил пожарной безопасности в лесах» (далее – Прав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ила пожарной безопасности в лесах), приказом Федерального агентства лесного хозяйства от 05.07.2011 № 287 «Об утверждении классификации природной пожарной опасности лесов и классификации пожарной опасности в лесах в зависимости от условий погоды», приказом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Министерства природных ресурсов и экологии Российской Федерации от 23.01.2025 № 38 «Об утверждении классификации природной пожарной опасности лесов».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Предотвращение распространения на земли населенных пунктов, на которых расположены леса, 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иродных пожаров (степных, торфяных и иных) и пожаров, возникших в результате незаконного выжигания сухой растительности и ее остатков, а также тушение пожаров в лесах, расположенных на землях населенных пунктов, осуществляются в соответствии с Федеральным </w:t>
      </w:r>
      <w:hyperlink r:id="rId15" w:tooltip="https://login.consultant.ru/link/?rnd=713AC7B74BE0A6D37AC69A3A61C3F698&amp;req=doc&amp;base=RZR&amp;n=370353&amp;REFFIELD=134&amp;REFDST=100041&amp;REFDOC=368796&amp;REFBASE=RZR&amp;stat=refcode%3D16876%3Bindex%3D75&amp;date=27.01.202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законом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от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21 декабря 1994 года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 68-ФЗ «О защите населения и территорий от чрезвычайных ситуаций природного и техногенного характера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 и Федеральным </w:t>
      </w:r>
      <w:hyperlink r:id="rId16" w:tooltip="https://login.consultant.ru/link/?rnd=713AC7B74BE0A6D37AC69A3A61C3F698&amp;req=doc&amp;base=RZR&amp;n=371954&amp;REFFIELD=134&amp;REFDST=100041&amp;REFDOC=368796&amp;REFBASE=RZR&amp;stat=refcode%3D16876%3Bindex%3D75&amp;date=27.01.202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законом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от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21 декабря 1994 года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 69-ФЗ «О пожарной безопасности».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пункту 6 части 1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статьи 84 Лесного кодекса к полномочиям органов местного самоуправления в отношении лесных участков, находящихся в муниципальной собственности, в части охраны лесов относится организация осуществления мер пожарной безопасности в лесах.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709" w:leader="none"/>
          <w:tab w:val="left" w:pos="851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 частью 1 статьи 53 Лесного кодекса и Правилами пожарной безопасности в лесах меры пожарной безопасности в лесах включают в себя: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предупреждение лесных пожаров;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мониторинг пожарной опасности в лесах и лесных пожаров, в том числе с использованием специализированного программного обеспечения, позволяющего осуществлять указанную деятельность в автоматическом режиме с использованием геоинформационных систем;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разработку и утверждение планов тушения лесных пожаров;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иные меры пожарной безопасности в лесах.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Меры противопожарного обустройства лесов включают в себя: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создание, содержание и эксплуатацию лесохозяйственных лесных дорог, предназначенных для охраны лесов от пожаров;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</w:t>
      </w:r>
      <w:r>
        <w:rPr>
          <w:rFonts w:ascii="PT Astra Serif" w:hAnsi="PT Astra Serif" w:eastAsia="PT Astra Serif" w:cs="PT Astra Serif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создание, содержание и эксплуатацию посадочных площадок, используемых в целях проведения авиационных работ по охране лесов от пожаров;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</w:t>
      </w:r>
      <w:hyperlink r:id="rId17" w:tooltip="https://login.consultant.ru/link/?req=doc&amp;base=LAW&amp;n=316559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прокладку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просек, противопожарных разрывов, устройство противопожарных минерализованных полос;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 создание, содержание и эксплуатацию пожарных наблюдательных пунктов (вышек, мачт, павильонов и других наблюдательных пунктов);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д) создание в целях тушения лесных пожаров условий для забора в любое время года воды из источников наружного водоснабжения;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е) проведение гидромелиорации земель;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ж) снижение природной пожарной опасности лесов путем регулирования породного состава лесных насаждений;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з) </w:t>
      </w:r>
      <w:hyperlink r:id="rId18" w:tooltip="https://login.consultant.ru/link/?req=doc&amp;base=LAW&amp;n=334242&amp;dst=100009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проведение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профилактического контролируемого противопожарного выжигания хвороста, лесной подстилки, сухой травы и других лесных горючих материалов;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и) иные определенные Правительством Российской Федерации меры, в том числе: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прочистка просек, прочистка противопожарных разрывов, прочистка противопожарных минерализованных полос и их обновление;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эксплуатация пожарных водоемов и подъездов к источникам водоснабжения;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благоустройство зон отдыха граждан, пребывающих в лесах в соответствии со статьей 11 Лесного кодекса Российской Федерации;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установка и эксплуатация шлагбаумов, устройство преград, обеспечивающих ограничение пребывания граждан в лесах в целях обеспечения пожарной безопасности;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создание и содержание противопожарных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заслонов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устройство лиственных опушек;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установка и размещение стендов и других знаков и указателей, содержащих информацию о мерах пожарной безопасности в лесах.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Указанные меры противопожарного обустройства лесов на лесных участках, предоставленных в постоянное (бессрочное) пользование, безвозмездное пользование, аренду</w:t>
      </w:r>
      <w:r>
        <w:rPr>
          <w:rFonts w:ascii="PT Astra Serif" w:hAnsi="PT Astra Serif" w:eastAsia="PT Astra Serif" w:cs="PT Astra Serif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либо используемых на основании сервитута, публичного сервитута, осуществляются арендаторами лесного участка, землепользователями, обладателями сервитута, публичного сервитута.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709" w:leader="none"/>
          <w:tab w:val="left" w:pos="851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Мониторинг пожарной опасности в лесах и лесных пожаров включает в себя: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наблюдение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контроль за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пожарной опасностью в лесах и лесными пожарами;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организацию системы обнаружения и учета лесных пожаров, системы наблюдения за их развитием с использованием наземных, авиационных или космических средств;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организ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ацию патрулирования лесов;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прием и учет сообщений о лесных пожарах, а также оповещение населения и противопожарных служб о пожарной опасности в лесах и лесных пожарах специализированными диспетчерскими службами.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</w:tabs>
        <w:rPr>
          <w:rFonts w:ascii="PT Astra Serif" w:hAnsi="PT Astra Serif" w:cs="PT Astra Serif"/>
          <w:iCs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iCs/>
          <w:sz w:val="24"/>
          <w:szCs w:val="24"/>
          <w:highlight w:val="white"/>
        </w:rPr>
        <w:t xml:space="preserve">Мониторинг пожарной опасности осуществляется в соответствии со статьей 53.2 Лесного кодекса </w:t>
      </w:r>
      <w:r>
        <w:rPr>
          <w:rFonts w:ascii="PT Astra Serif" w:hAnsi="PT Astra Serif" w:eastAsia="PT Astra Serif" w:cs="PT Astra Serif"/>
          <w:iCs/>
          <w:sz w:val="24"/>
          <w:szCs w:val="24"/>
          <w:highlight w:val="white"/>
        </w:rPr>
        <w:t xml:space="preserve">и приказом Министерства природных ресурсов и экологии Российской Федерации от 12.05.2025 № 256 «Об утверждении Порядка осуществления мониторинга пожарной опасности в лесах и лесных пожаров»</w:t>
      </w:r>
      <w:r>
        <w:rPr>
          <w:rFonts w:ascii="PT Astra Serif" w:hAnsi="PT Astra Serif" w:eastAsia="PT Astra Serif" w:cs="PT Astra Serif"/>
          <w:iCs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iCs/>
          <w:sz w:val="24"/>
          <w:szCs w:val="24"/>
          <w:highlight w:val="white"/>
        </w:rPr>
      </w:r>
      <w:r>
        <w:rPr>
          <w:rFonts w:ascii="PT Astra Serif" w:hAnsi="PT Astra Serif" w:cs="PT Astra Serif"/>
          <w:iCs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целях мониторинга пожарной опасности в лесах и лесных пожаров рекомендуется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осуществление наземного патрулирования лесов в установленном порядке.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Приобретение и содержание сре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дств пр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едупреждения и тушения лесных пожаров включает в себя: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приобретение противопожарного снаряжения и инвентаря;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приобретение и содержание пожарной техники и оборудования, систем связи и оповещения;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создание резерва пожарной техники и оборудования, противопожарного снаряжения и инвентаря, а также горюче-смазочных материалов;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создание пунктов сосредоточения противопожарного инвентаря.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Согласно статье 53.1 Лесного кодекса противопожарная пропаганда и обучение населения мерам пожарной безопасности в лесах включают в себя: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издание и распространение специальной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литературы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изготовление предметов наглядной агитации;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проведение тематических выставок, смотров, конференций и использование других форм информирования населения;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иные мероприятия, предусмотренные лесным законодательством и законодательством Российской Федерации о пожарной безопасности.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статье 25 Федерального </w:t>
      </w:r>
      <w:hyperlink r:id="rId19" w:tooltip="https://login.consultant.ru/link/?rnd=713AC7B74BE0A6D37AC69A3A61C3F698&amp;req=doc&amp;base=RZR&amp;n=371954&amp;REFFIELD=134&amp;REFDST=100041&amp;REFDOC=368796&amp;REFBASE=RZR&amp;stat=refcode%3D16876%3Bindex%3D75&amp;date=27.01.202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закон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а от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21 декабря 1994 года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 69-ФЗ «О пожарной безопасности» п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ротивопожарная пропаганда осуществляется через средства массовой информации, посредством издания и распространения специальной литературы и рекламной продукции, проведения тематических выставок, смотров, конференций и использования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других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не запрещенных законодательством Российской Фед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ерации форм информирования населения. Противопожарную пропаганду проводят органы государственной власти, федеральный орган исполнительной власти, уполномоченный на решение задач в области пожарной безопасности, органы местного самоуправления и организации.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Планируется ежегодно издание и распространение материалов о мерах пожарной безопасности в лесах (листовок) в количестве 1500 штук.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Основными мерами предупреждения и ограничения распространения пожаров в лесах, расположенных на землях населенных пунктов, являются проведение противопожарных мероприятий (устройство противопожарных минерализованных полос,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прочистка просек, содержание противопожарных заслонов, устройство лиственных опушек, регулирование породного состава лесных насаждений, благоустройство зон отдыха граждан, пребывающих в лесах, расположенных на землях населенных пунктов, в соответствии со </w:t>
      </w:r>
      <w:hyperlink r:id="rId20" w:tooltip="https://login.consultant.ru/link/?rnd=713AC7B74BE0A6D37AC69A3A61C3F698&amp;req=doc&amp;base=RZR&amp;n=371953&amp;dst=100050&amp;fld=134&amp;REFFIELD=134&amp;REFDST=100044&amp;REFDOC=368796&amp;REFBASE=RZR&amp;stat=refcode%3D16876%3Bdstident%3D100050%3Bindex%3D79&amp;date=27.01.202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статьей 11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Лесного кодекса Российской Федерации), установка и размещение стендов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других знаков и указателей, содержащих информацию о мерах пожарной безопасности в лесах, расположенных на землях населенных пунктов.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851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Виды и объёмы мероприятий 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противопожарному устройству лесов лесничества разработаны на основании приказа Министерства природных ресурсов и экологии Российской Федерации от 09.04.2025 № 184 «Об утверждении нормативов противопожарного обустройства лесов» и представлены в таблице 16.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ВИДЫ И ОБЪЁМЫ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по противопожарному устройству лесов лесничества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tabs>
          <w:tab w:val="left" w:pos="846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(Западно-Сибирский южно-таежный равнинный район)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tabs>
          <w:tab w:val="left" w:pos="846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right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Таблица 16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right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721"/>
        <w:gridCol w:w="708"/>
        <w:gridCol w:w="993"/>
        <w:gridCol w:w="1275"/>
        <w:gridCol w:w="2268"/>
      </w:tblGrid>
      <w:tr>
        <w:tblPrEx/>
        <w:trPr>
          <w:trHeight w:val="20"/>
        </w:trPr>
        <w:tc>
          <w:tcPr>
            <w:shd w:val="clear" w:color="ffffff" w:fill="ffffff"/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3721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Меры противопожарного обустройства лесов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изм.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Количество проектируемых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continue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721" w:type="dxa"/>
            <w:vMerge w:val="continue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993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норма-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1000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5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требуется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норма-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проектируется ежегодно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лесоводственным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соображениям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3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5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gridSpan w:val="6"/>
            <w:tcW w:w="9639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Защитные леса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Протяженность противопожарных разрывов и (или) просек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Протяженность противопожарных минерализованных полос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3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0,435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5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3,8446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0,677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*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Зоны отдыха граждан, пребывающих в лесах в соответствии со статьей 11 Лесного кодекса Российской Федерации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шт.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3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0,092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5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0,8131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Стенды и другие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знаки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указатели, содержащие информацию о мерах пожарной безопасности в лесах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шт.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993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0,377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75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3,3319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*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*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Создание, содержание и эксплуатация лесных дорог, предназначенных для охраны лесов от пожаров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руются, выполняются в районе применения наземных сил и средств пожаротушения, с учетом наличия существующей транспортной сети и необходимости обеспечения прибытия сил и средств тушения лесных пожаров к местам пожаров за время, составляющее не более 3 часов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Создание, содержание и эксплуатация посадочных площадок, используемых в целях проведения авиационных работ по охране лесов от пожаров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нормируются, выполняются в зоне, лесоавиационных работ в количестве не менее одной площадки на лесничество, с учетом наличия действующих площадок для самолетов и вертолетов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Создание, содержание и эксплуатация пожарных наблюдательных пунктов (вышек, мачт, павильонов и других наблюдательных пунктов)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шт.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нормируются, выполняются в районе применения наземных сил и средств пожаротушения, а также вблизи 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аселенных пунктов и объектов экономики, в которых пожарные наблюдательные пункты, оснащенные техническими средствами для автоматизированного обнаружения лесных пожаров, планируются с учетом существующей сети пожарных наблюдательных пунктов и (или) средств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видеомониторинга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установленных на вышках сотовых операторов, а также особенностей рельефа, целевого назначения лесов, природной пожарной опасности территорий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в целях тушения лесных пожаров условий для забора в любое время года воды из источников наружного водоснабжения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нормируются, выполняется в районах применения наземных сил и средств пожаротушения исходя из текущей обеспеченности территории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водоисточниками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для тушения пожаров водой, а также наличия вблизи водоемов транспортной доступности.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 планировании условий для забора воды необходимо учитывать, что один водоем может обеспечить бесперебойную доставку воды в насаждениях I класса природной пожарной опасности на площади 500 га, II класса - 5000 га, III – V классов 10000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Прочистка просек, прочистка противопожарных минерализованных полос и их обновление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нормируются, осуществляются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ежегодно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может быть однократной или трехкратной в зависимости от лесорастительных условий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Снижение природной пожарной опасности лесов путем регулирования породного состава лесных насаждений, единиц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Проведение профилактического контролируемого противопожарного выжигания хвороста, лесной подстилки, сухой травы и других лесных горючих материалов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Проведение гидромелиорации земель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Эксплуатация пожарных водоемов и подъездов к источникам водоснабжения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Установка и эксплуатация шлагбаумов, устройство преград, обеспечивающих ограничение пребывания граждан в лесах в целях обеспечения пожарной безопасности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шт.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21" w:type="dxa"/>
            <w:vMerge w:val="restart"/>
            <w:textDirection w:val="lrTb"/>
            <w:noWrap w:val="false"/>
          </w:tcPr>
          <w:p>
            <w:pPr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и содержание противопожарных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заслонов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устройство лиственных опушек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-ниц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W w:w="4536" w:type="dxa"/>
            <w:vMerge w:val="restart"/>
            <w:textDirection w:val="lrTb"/>
            <w:noWrap w:val="false"/>
          </w:tcPr>
          <w:p>
            <w:pPr>
              <w:jc w:val="left"/>
              <w:spacing w:line="264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Не нормируются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1012"/>
        <w:ind w:firstLine="480"/>
        <w:jc w:val="both"/>
        <w:spacing w:before="0" w:beforeAutospacing="0" w:after="0" w:afterAutospacing="0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————————————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12"/>
        <w:ind w:firstLine="480"/>
        <w:jc w:val="both"/>
        <w:spacing w:before="0" w:beforeAutospacing="0" w:after="0" w:afterAutospacing="0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&lt;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*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&gt;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Проектируется однократно в 2026 году.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012"/>
        <w:ind w:firstLine="480"/>
        <w:jc w:val="both"/>
        <w:spacing w:before="0" w:beforeAutospacing="0" w:after="0" w:afterAutospacing="0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&lt;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*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*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&gt;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Однократно в 2025 году.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012"/>
        <w:ind w:firstLine="480"/>
        <w:jc w:val="both"/>
        <w:spacing w:before="0" w:beforeAutospacing="0" w:after="0" w:afterAutospacing="0"/>
        <w:widowControl w:val="o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 соответствии с частью 12 статьи 53.1 Л</w:t>
      </w:r>
      <w:r>
        <w:rPr>
          <w:rFonts w:ascii="PT Astra Serif" w:hAnsi="PT Astra Serif" w:eastAsia="PT Astra Serif" w:cs="PT Astra Serif"/>
        </w:rPr>
        <w:t xml:space="preserve">есного кодекса план противопожарного обустройства лесов на территории лесничества разрабатывается и утверждается органами местного самоуправления в пределах их полномочий на пять лет с указанием ежегодных плановых показателей по годам.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shd w:val="clear" w:color="auto" w:fill="ffffff"/>
        </w:rPr>
        <w:t xml:space="preserve">Порядок разработки и утверждения плана противопожарного обустройства лесов на территории лесничества и его форма установлены 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постановлением Правительства Российской Федерации от 27.12.20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23 № 2332 «Об утверждении Правил разработки и утверждения плана противопожарного обустройства лесов на территории лесничества и его формы, Правил разработки плана противопожарного обустройства лесов на территории субъекта Российской Федерации и его формы».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Нормы наличия средств предупреждения и тушения лесных пожаров при использовании лесов (далее – Нормы) установлены в соответствии с приказом Министерства природных ресурсов и экологии Российской Федерации от 09.04.2025 № 183 «Об утв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в зависимости от площади используемых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лесных участков, количества объектов, объемов работ и численности работающих.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Средства предупреждения и тушения лесных пожаров должны соответствовать требованиям нормативных правовых актов Российской Федерации, регламентирующих 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техническое регулирование в области пожарной безопасности.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В случае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 если лицу, использующему леса в пределах одного субъекта Российской Федерации, представлено два или более лесных участков, не имеющих общих границ, либо в случае, если исполь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зование лесов одним лицом осуществляется на основании двух или более правоустанавливающих документов независимо от вида и объема использования лесов, пункт сосредоточения может формироваться как для каждого участка в отдельности, так и один на несколько уч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астков с учетом возможности доставки ресурсов пожаротушения не позднее трех часов с момента обнаружения пожара. Укомплектование единого пункта сосредоточения для нескольких арендованных лесных участков осуществляется исходя из суммарной площади данных учас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тков согласно Нормам. Укомплектование пункта сосредоточения на лесном участке, предоставленном лицу для нескольких видов использования лесов, осуществляется согласно Нормам, которые являются наибольшими из установленных по данным видам использования лесов.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Мера пожарной безопасности, предупреждение лесных пожаров (за исключением пр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отивопожарной пропаганды и обучения населения мерам пожарной безопасности в лесах) на лесных участках, предоставленных в постоянное (бессрочное) пользование или в аренду, осуществляется лицами, использующими леса, в соответствии с проектом освоения лесов.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Лица, которым лесные участки предоставлены в постоянное (бессрочное) пользование, безвозмездное пользование или в аренду, а также обладатели сервитута принимают участие в осуществлении мероприятий по тушению лесного пожара на соотве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тствующем лесном участке (в границах соответствующего сервитута), за исключением осуществления мероприятий, предусмотренных пунктами 4.1 и 4.2 части 1 статьи 53.4 Лесного кодекса, в соответствии со сводным планом тушения лесных пожаров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 на территории субъекта Российской Федерации.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Во всех случаях работники, участвующие в недопущении распространения или тушении лесных пожаров, обеспечиваются защитными касками, средствами защиты органов дыхания и зрения, защитными рукавицами (по мере износа) и средствами гигиены.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Тушение пожаров в городских лесах, расположенных на террито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рии лесничества, осу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ществляется 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 и Федеральным законом от 21 декабря 1994 года № 69-ФЗ «О пожарной безопасности».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Согласно Федераль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ному закону от 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21 декабря 1994 года</w:t>
      </w:r>
      <w:r>
        <w:rPr>
          <w:rFonts w:ascii="PT Astra Serif" w:hAnsi="PT Astra Serif" w:eastAsia="PT Astra Serif" w:cs="PT Astra Serif"/>
          <w:sz w:val="24"/>
          <w:szCs w:val="24"/>
          <w:lang w:eastAsia="ar-SA"/>
        </w:rPr>
        <w:t xml:space="preserve"> № 69-ФЗ «О пожарной безопасности» к полномочиям федеральных органов государственной власти в области пожарной безопасности среди прочего относится осуществление тушения пожаров в населённых пунктах, в том числе в городских лесах.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пункту 12 Правил пожарной безопасности в лесах ю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ридические лица и граждане, осуществляющие использование лесов, обязаны: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хранить горюче-смазочные материалы в закрытой таре, исключающей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их случайное воспламенение и разлив, производить в период пожароопасного сезона очистку мест их хранения от растительного покрова, древесного мусора, других горючих материалов и отделение противопожарной минерализованной полосой шириной не менее 1,4 метра;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уведомлять при корчевке пней с помощью взрывчатых веществ о месте и времени проведения этих работ органы местного самоуправления, указанные в </w:t>
      </w:r>
      <w:hyperlink r:id="rId21" w:tooltip="https://login.consultant.ru/link/?req=doc&amp;base=LAW&amp;n=364560&amp;dst=100018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пункте 4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Правил пожарной безопасности в лесах, не менее чем за 10 дней до их начала, прекращать корчевку пней с помощью этих веще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ств 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высокой пожарной опасности в лесу;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соблюдать нормы наличия сре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дств 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едупреждения и тушения лесных пожаров при использовании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лесов, утверждаемые Министерством природных ресурсов и экологии Российской Федерации, а также содержать средства предупреждения и тушения лесных пожаров в период пожароопасного сезона в готовности, обеспечивающей возможность их немедленного использования;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немедленно сообщить в случае обнаружения лесного пожара на соответствующем лесном участке об этом в специализированную диспетчерскую службу и принять все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возможные меры по недопущению распространения лесного пожара.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Граждане при пребывании в лесах обязаны соблюдать требования пожарной безопасности в лесах, установленные пунктами 8 – 11 Правил пожарной безопасности в лесах.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Пребывание граждан в лесах может быть ограничено в целях обеспечения: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пожарной безопасности и санитарной безопасности в лесах;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tabs>
          <w:tab w:val="left" w:pos="630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безопасности граждан при выполнении работ.</w:t>
      </w: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Согласно Рекомендациям по противопожарной профилактике в лесах и регламентации работы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лесопожарных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служб, утвержденным Федеральной службой лесного хозяйства от 17.11.1997, мероприятия по противопож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арной профилактике в лесах подразделяются на три основные группы: предупреждение возникновения лесных пожаров, ограничение распространения лесных пожаров и организационно-технические и другие мероприятия, обеспечивающие пожарную устойчивость лесного фонда.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Томской области действуют региональные классы пожарной опасности в лесах в зависимости от условий погоды, приведенные в приложении 6.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Согласно статье 60.13 Лесного кодекса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в целях охраны лесов от радиоактивного загрязнения осуществляется радиационное обследование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лесов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и устанавливаются зоны их радиоактивного загрязнения.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Особенности осуществления профилактических и реабилитационных мероприятий в зонах радиоактивного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загрязнения лесов утверждены приказом Министерства природных ресурсов и экологии Российской Федерации от 08.06.2017 № 283 «Об утверждении Особенностей осуществления профилактических и реабилитационных мероприятий в зонах радиоактивного загрязнения лесов».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Согласно статье 60.12 Лесного кодекса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леса подлежат охране от загрязнения и иного негативного воздействия в соответствии с Лесным кодексом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, Федеральным </w:t>
      </w:r>
      <w:hyperlink r:id="rId22" w:tooltip="https://www.consultant.ru/document/cons_doc_LAW_64299/620027d64ec9c59611790b949c64c603a0899a41/" w:history="1">
        <w:r>
          <w:rPr>
            <w:rFonts w:ascii="PT Astra Serif" w:hAnsi="PT Astra Serif" w:eastAsia="PT Astra Serif" w:cs="PT Astra Serif" w:eastAsiaTheme="minorHAnsi"/>
            <w:sz w:val="24"/>
            <w:szCs w:val="24"/>
            <w:lang w:eastAsia="en-US"/>
          </w:rPr>
          <w:t xml:space="preserve">законом</w:t>
        </w:r>
      </w:hyperlink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 от 10 января 2002 года № 7-ФЗ «Об охране окружающей среды» и другими федеральными законами.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Охрана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лесов от загрязнения и иного негативного воздействия осуществляется физическими и юридическими лицами, органами государственной власти, органами местного самоуправления в пределах их полномочий, определенных в соответствии с Лесным кодексом и Федеральным </w:t>
      </w:r>
      <w:hyperlink r:id="rId23" w:tooltip="https://www.consultant.ru/document/cons_doc_LAW_64299/620027d64ec9c59611790b949c64c603a0899a41/" w:history="1">
        <w:r>
          <w:rPr>
            <w:rFonts w:ascii="PT Astra Serif" w:hAnsi="PT Astra Serif" w:eastAsia="PT Astra Serif" w:cs="PT Astra Serif" w:eastAsiaTheme="minorHAnsi"/>
            <w:sz w:val="24"/>
            <w:szCs w:val="24"/>
            <w:lang w:eastAsia="en-US"/>
          </w:rPr>
          <w:t xml:space="preserve">законом</w:t>
        </w:r>
      </w:hyperlink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 от 10 января 2002 года № 7-ФЗ «Об охране окружающей среды».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Невыполнение гра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жданами, юридическими лицами, осуществляющими использование лесов, лесохозяйственного регламента и проекта освоения лесов в части охраны лесов от загрязнения и иного негативного воздействия является основанием для досрочного расторжения договоров аренды ле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сных участков, договоров купли-продажи лесных насаждений, а также для принудительного прекращения права постоянного (бессрочного) пользования лесным участком или права безвозмездного пользования лесным участком, прекращения сервитута, публичного сервитута.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Органы местного самоуправления наделены необходимыми полномочиями для осуществления деятельности по ликвидации несанкционированных мест размещения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отходов и утилизации отходов, в том числе твердых коммунальных отходов.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</w:rPr>
        <w:t xml:space="preserve">Согласно постановлению Правительства Российской Федерации от 27.12.2023 № 2323 «Об утверждении </w:t>
      </w:r>
      <w:hyperlink r:id="rId24" w:tooltip="https://docs.cntd.ru/document/1304465798#65A0IQ" w:anchor="65A0IQ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shd w:val="clear" w:color="auto" w:fill="ffffff"/>
          </w:rPr>
          <w:t xml:space="preserve">Правил организации ликвидации накопленного вреда окружающей среде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</w:rPr>
        <w:t xml:space="preserve">» ликвидация накопленного вреда осуществляется в отношении объектов накопленного вреда, включенных в государственный реестр объектов накопленного вреда окружающей среде.</w:t>
      </w:r>
      <w:r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r>
      <w:r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</w:rPr>
        <w:t xml:space="preserve">Организация ликвидации накопленного вреда применительно к территории, расположенной в границах з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</w:rPr>
        <w:t xml:space="preserve">емельных участков, находящихся в собственности муниципального образования, осуществляется органами местного самоуправления такого муниципального образования, применительно к иным территориям – органами государственной власти субъектов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r>
      <w:r>
        <w:rPr>
          <w:rFonts w:ascii="PT Astra Serif" w:hAnsi="PT Astra Serif" w:cs="PT Astra Serif"/>
          <w:color w:val="000000"/>
          <w:sz w:val="24"/>
          <w:szCs w:val="24"/>
          <w:shd w:val="clear" w:color="auto" w:fill="ffffff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Согласно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</w:rPr>
        <w:t xml:space="preserve">постановлению Правительства Российской Федерации от 30.05.2026 № 652 «Об утверждении Правил санитарной безопасности в лесах» в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лесах не допускается: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загрязнение лесов отходами производства и потребления и выбросами, радиоактивными и другими вредными веществами, иное неблагоприятное воздействие на леса, установленное законодательством об охране окружающей среды;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ухудшение санитарного и лесопатологического состояния лесных насаждений;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невыполнение или несвоевременное выполнение работ по очистке лесосек, а также раб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от по приведению лесных участков, предоставленных физическим или юридическим лицам в пользование в установленном лесным законодательством порядке, в состояние, пригодное для использования этих участков по целевому назначению, или работ по их рекультивации;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уничтожение либо повреждение мелиоративных систем и дорог, расположенных в лесах;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уничтожение либо повреждение лесохозяйственных знаков, 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феромонных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 ловушек и иных средств защиты леса.</w:t>
      </w:r>
      <w:r>
        <w:rPr>
          <w:rFonts w:ascii="PT Astra Serif" w:hAnsi="PT Astra Serif" w:eastAsia="PT Astra Serif" w:cs="PT Astra Serif" w:eastAsiaTheme="minorHAnsi"/>
          <w:sz w:val="24"/>
          <w:szCs w:val="24"/>
          <w:lang w:eastAsia="en-US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15) в подразделе 2.19.2: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абзаце первом: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слова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09.12.2020 № 2047»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заменить словами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30.05.2026 "№ 652»;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слова «от 09.11.2020 № 913» заменить словами «от 01.11.2025 № 586»;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- слова «от 09.11.2020 № 912» заменить словами «25.03.2026 № 162»;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абзац второй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анитарно-оздоровительные мероприятия (далее – СОМ) (рубка погибших и поврежденных лесных насаждений, уборка неликвидной древесины (рубка древесины, утратившей потребительские свойства из-за повреждений гнилью, стволовыми вредителями, а также в результате п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жаров и других неблагоприятных воздействий) в лесах, назначенные по результатам лесопатологического обследования, проводятся в первую очередь в сроки, рекомендованные актом обследования, но не позднее 3 лет с даты проведения лесопатологического обследовани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я.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абзацы девятый, десятый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Профилактические мероприятия по защите лесов направлены на повышение устойчивости лесов и предотвращение или сокращение ущерба от воздействия неблагоприятных факторов на леса. Проводятся с целью предупреждения формирования оча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гов вредных лесных организмов и (или) с целью предотвращения нанесения ущерба лесам вредными лесными организмами и осуществляются в соответствии с актом лесопатологического обследования. Акт лесопатологического обследования составляется согласно приказу Ми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нистерства природных ресурсов и экологии Российской Федерации от 24.02.2026 № 97 «Об утверждении Порядка проведения лесопатологических обследований и формы акта лесопатологического обследования» (далее – Порядок проведения лесопатологических обследований).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 w:eastAsiaTheme="minorHAnsi"/>
          <w:sz w:val="24"/>
          <w:szCs w:val="24"/>
          <w:highlight w:val="white"/>
          <w:lang w:eastAsia="en-US"/>
        </w:rPr>
        <w:t xml:space="preserve">Согласно пункту 11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Порядка проведения лесопатологических обследований 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лесном плане субъекта Российской Федерации и лесохозяйственном регламенте лесничества устанавливаются объемы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лесопатологических обследований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исходя из текущей ситуации при составлении лесного плана. Ежегодные объемы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лесопатологических обследований</w:t>
      </w:r>
      <w:r>
        <w:rPr>
          <w:rFonts w:ascii="PT Astra Serif" w:hAnsi="PT Astra Serif" w:eastAsia="PT Astra Serif" w:cs="PT Astra Serif" w:eastAsiaTheme="minorHAnsi"/>
          <w:sz w:val="24"/>
          <w:szCs w:val="24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корректируются с учетом данных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государственного лесопатологического мониторинга</w:t>
      </w:r>
      <w:r>
        <w:rPr>
          <w:rFonts w:ascii="PT Astra Serif" w:hAnsi="PT Astra Serif" w:eastAsia="PT Astra Serif" w:cs="PT Astra Serif" w:eastAsiaTheme="minorHAnsi"/>
          <w:sz w:val="24"/>
          <w:szCs w:val="24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 иной информации о санитарном и лесопатологическом состоянии лесов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.»;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009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val="ru-RU"/>
        </w:rPr>
        <w:t xml:space="preserve">в)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таблице 19 слова «от 09.11.2020 № 913» заменить словами «от 01.11.2025 № 586»;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16)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подразделе 2.19.3: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абзаце двадцатом слова «от 30.07.2020 № 534» заменить словами «от 09.04.2026 № 200»;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таблицу 22 изложить 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tbl>
      <w:tblPr>
        <w:tblW w:w="100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278"/>
        <w:gridCol w:w="930"/>
        <w:gridCol w:w="1254"/>
        <w:gridCol w:w="873"/>
        <w:gridCol w:w="966"/>
        <w:gridCol w:w="1382"/>
        <w:gridCol w:w="1113"/>
        <w:gridCol w:w="1225"/>
      </w:tblGrid>
      <w:tr>
        <w:tblPrEx/>
        <w:trPr>
          <w:jc w:val="center"/>
          <w:trHeight w:val="20"/>
          <w:tblHeader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«Показатели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402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Не покрытые лесной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растительностью земли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Лесосеки сплошных рубок предстоящего периода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Лесоразве-дение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  <w:tblHeader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гари и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по-гибшие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насаж-дения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вырубки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прога-лины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и пустыри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итого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Земли, нуждающиеся в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лесовосстановлении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, всего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том числе по породам: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хвойным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твердолиственным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мягколиственным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 том числе по способам: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искусственное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лесовосстановление, всего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из них по породам: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хвойным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3,7441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твердолиственным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мягколиственным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22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Земли, нуждающиеся в лесоразведении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3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5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7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9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38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11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225" w:type="dxa"/>
            <w:textDirection w:val="lrTb"/>
            <w:noWrap w:val="false"/>
          </w:tcPr>
          <w:p>
            <w:pPr>
              <w:ind w:left="0" w:firstLine="0"/>
              <w:jc w:val="center"/>
              <w:widowControl w:val="off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-»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в) 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абзаце девяносто первом цифры «33,1516» заменить цифрами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«3,7441»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17) таблицу 25 изложить в следующей редакции: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tbl>
      <w:tblPr>
        <w:tblW w:w="958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2468"/>
        <w:gridCol w:w="7115"/>
      </w:tblGrid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«Виды использования лесов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Ограничения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Заготовка древесины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На территории лесничества запрещается: 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1) заготовка древесины в объеме, превышающем расчетную лесосеку (допустимый объем изъятия древесины), а также с нарушением возрастов рубок (часть 5 статьи 29 Лесного кодекса);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2) рубка лесных насаждений включенных в Перечень видов (пород) деревьев и кустарников, заготовка древесины которых не допускается (Приказ Министерства природных ресурсов и экологии Российской Федерации от 14.03.2025 № 102). 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Ограничения: 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1) в защитных лесах предусмотренные частью 5 статьи 21 Лесного кодекса выборочные рубки и сплошные рубки деревьев, кустарников, лиан допускаются в случаях, если строительство, рек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онструкция, капитальный ремонт и эксплуатация объектов капитального строительства, не связанных с созданием лесной инфраструктуры, в целях, предусмотренных пунктами 1 - 3 части 1 статьи 21 Лесного кодекса, не запрещены или не ограничены в соответствии с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 законодательством Российской Федерации (часть 6 статьи 21 Лесного кодекса); 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2) при заготовке древесины подлежат сохранению деревья, кустарники и лианы, занесенные в Красную книгу Российской Федерации, в красные книги субъектов Российской Федерации (п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ункт 11 Правил заготовки древесины); 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3) 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также включенных в Перечень видов (пород) деревьев и кустарников, заготовка др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евесины которых не допускается, установленный в соответствии со статьей 29 Лесного кодекса, разрешается рубка только погибших экземпляров (пункт 36 Правил санитарной безопасности в лесах»)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Заготовка живицы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Заготовка и сбор недревесных лесных ресурсов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ограничивается в соответствии с </w:t>
            </w:r>
            <w:hyperlink r:id="rId25" w:tooltip="consultantplus://offline/ref=CD911E6EB1074810CF3EDEFA772154E64E1C79CCAF6D4BF663357062D9FBF09001FCC098D2DC3CA8FC6E6D4D7435D2081B4F4F95D5FA5CACTD60M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приказом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Министерства природных ресурсов и экологии Российской Федерации от 11.03.2026 № 1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26 «Об утве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рждении Правил заготовки и сбора недревесных лесных ресурсов», Законом Томской области от 14 сентября 2007 года № 204-ОЗ «Об установлении порядка заготовки и сбора гражданами недревесных лесных ресурсов для собственных нужд на территории томской области».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Ограничение заготовки и сбора гражданами недревесных лесных ресурсов для собственных нужд может устанавливаться в соответствии со </w:t>
            </w:r>
            <w:hyperlink r:id="rId26" w:tooltip="https://login.consultant.ru/link/?req=doc&amp;base=LAW&amp;n=470040&amp;dst=100164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статьей 27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Лесного кодекса (часть 2 статьи 33 Лесного кодекса).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Запрещается: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1) заготовка и сбор для соб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ственных нужд недревесных лесных ресурсов, дикорастущих растений, виды которых занесены в Красную книгу Российской Федерации, Красную книгу Томской области, а также дикорастущих растений, признаваемых наркотическими средствами в соответствии с Федеральным </w:t>
            </w:r>
            <w:hyperlink r:id="rId27" w:tooltip="https://login.consultant.ru/link/?req=doc&amp;base=LAW&amp;n=471038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законом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от 8 января 1998 года № 3-ФЗ «О наркотических средствах и психотропных веществах»;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2) снимать бересту с деревьев, предназначенных для заготовки фанерного кряжа;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3) рубка деревьев для заготовки бересты;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4) снимать кору с растущих деревьев.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Заготовка и сбор недревесных лесных ресурсов могут б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ыть ограничены или запрещены на территориях, подвергшихся радиоактивному загрязнению (пункт 6  Правил заготовки и сбора недревесных лесных ресурсов, утвержденных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приказом Министерства природных ресурсов и экологии Российской Федерации от 11.03.2026 № 126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Заготовка пищевых лесных ресурсов 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и сбор лекарственных растений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ограничивается в соответствии 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Правилами заготовки пищевых лесных ресурсов и сбора лекарственных растений, Законом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Томской области от 14 сентября 2007 года № 205-ОЗ «Об установлении порядка заготовки пищевых лесных ресурсов и сбора лекарственных растений гражданами для собственных нужд на территории Томской области».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Запрещается: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1) рубка плодоносящих лесных насаждений, отдельных деревьев и срезание плодоносящих ветвей, применение способов, приводящих к повреждению деревьев;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2) в кедровых лесах заезд автотранспортной техники и других механизмов с дорог в древостои;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3) запрещается вырывать грибы с грибницей, переворачивать при сборе грибов мох и лесную подстилку, уничтожать старые грибы;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4) при заготовке надземной части лекарственных растений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выкапывание растений вместе с корневой системой;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5) срезание или выкапывание всего растения с целью сбора листьев лекарственных растений;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6) осуществлять заготовку и с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бор грибов и дикорастущих растений, виды которых занесены в Красную книгу Российской Федерации, красные книги субъектов Российской Федерации, а также грибов и дикорастущих растений, которые признаются наркотическими средствами в соответствии с Федеральным </w:t>
            </w:r>
            <w:hyperlink r:id="rId28" w:tooltip="https://login.consultant.ru/link/?req=doc&amp;base=LAW&amp;n=471038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законом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от 8 января 1998 года № 3-ФЗ «О наркотических средствах и психотропных веществах».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Ограничение заготовки гражданами пищевых лесных ресурсов и сбора ими лекарственных растений для собственных нужд может устанавливаться в соответствии со статьей 27 Лесного кодекса (часть 2 статьи 35 Лесного кодекса)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видов деятельности в сфере охотничьего хозяйства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7"/>
              <w:jc w:val="both"/>
              <w:widowControl w:val="off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Ведение сельского хозяйства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7"/>
              <w:jc w:val="both"/>
              <w:widowControl w:val="off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8"/>
              <w:jc w:val="left"/>
              <w:spacing w:line="276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Осуществление рыболовства, за исключением любительского рыболовства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7"/>
              <w:jc w:val="both"/>
              <w:widowControl w:val="off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научно-исследовательской деятельности, образовательной деятельности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ограничивается в соответствии с приказом Министерства природных ресурсов и экологии Российской Федерации от 27.07.2020 № 487 «Об утверждении Правил использования лесов для осуществления научно-исследовательской деятельности, образовательной деятельности».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Не допускается: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1) повреждение лесных насаждений, растительного покрова и почв за пределами предоставленного лесного участка;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2) захламление предоставленного лесного участка и территории за его пределами строительным и бытовым мусором, отходами древесины, иными видами отходов;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3) загрязнение площади предоставленного лесного участка и территории за его пределами химическими и радиоактивными веществами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рекреационной деятельности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ограничивается в соответствии с приказом Министерства природных ресурсов и экологии Российской Федерации от 17.03.2026 № 140 «Об утверждении Правил использования лесов для осуществления рекреационной деятельности».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Не допускается использование лесов для осуществления рекреа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ционной деятельности в случае невозможности соблюдения охраны редких и находящихся под угрозой исчезновения деревьев, кустарников, лиан, иных лесных растений, занесенных в Красную книгу Российской Федерации или красные книги субъектов Российской Федерации.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При осуществлении в лесах деятельности, предусмотренной </w:t>
            </w:r>
            <w:hyperlink r:id="rId29" w:tooltip="https://login.consultant.ru/link/?req=doc&amp;base=LAW&amp;n=470040&amp;dst=1734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частью 2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статьи 41 Лесного кодекса, и размещении предусмотренных </w:t>
            </w:r>
            <w:hyperlink r:id="rId30" w:tooltip="https://login.consultant.ru/link/?req=doc&amp;base=LAW&amp;n=470040&amp;dst=1735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частью 3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статьи 41 Лесного кодекса объектов не допускается создание объектов, являющихся местами жительства физических лиц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Создание лесных плантаций и их эксплуатация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Выращивание лесных плодовых, ягодных, декоративных растений, лекарственных растений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Создание лесных питомников и их эксплуатация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геологического изучения недр, разведка и добыча полезных ископаемых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изыскательской деятельности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Строитель</w:t>
            </w:r>
            <w:r>
              <w:rPr>
                <w:rFonts w:ascii="PT Astra Serif" w:hAnsi="PT Astra Serif" w:eastAsia="PT Astra Serif" w:cs="PT Astra Serif"/>
                <w:sz w:val="20"/>
              </w:rPr>
              <w:t xml:space="preserve">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территорий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морских и речных портов может ограничиваться в соответствии со </w:t>
            </w:r>
            <w:hyperlink r:id="rId31" w:tooltip="consultantplus://offline/ref=A0E5B986EA97609381EAFB7796BC1D39980F8570D57E3CF251BA19B470A7F6EF3DEED3FECCA923E7E5BC1DFA421BE3DD39CCC61EB8FB4567x3y8H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статьей 27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Лесного кодекса в случаях и в порядке, которые предусмотрены Лесным </w:t>
            </w:r>
            <w:hyperlink r:id="rId32" w:tooltip="consultantplus://offline/ref=E9748CC926B95EB19148FF8515BCE84AEF23FE624D14BCF8030EF8FA7AD22DAAA17C010D6CE9FBA82AD2CB2481F0A3301FA5B172E8AADD80O3z6H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кодексом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, другими федеральными законами.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pStyle w:val="1009"/>
              <w:ind w:firstLine="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В городских лесах запрещается строительство объектов капитального строительства, за исключением гидротехнических сооружений (пункт 5 части 2 статьи 116 Лесного кодекса)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Строительство, реконструкция, эксплуатация линейных объектов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для строительства, реконструкции, эксплуатации линейных объектов ограничивается в соответствии с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Правилами использования лесов для строительства, реконструкции, эксплуатации линейных объектов.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pStyle w:val="1009"/>
              <w:ind w:firstLine="0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В городских лесах запрещается строительство объектов капитального стро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и гидротехнических сооружений (пункт 5 части 2 статьи 116 Лесного кодекса)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Создание и эксплуатация объектов лесоперерабатывающей инфраструктуры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Осуществление религиозной деятельности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Использование лесов для осуществления религиозной деятельности может ограничиваться в соответствии со </w:t>
            </w:r>
            <w:hyperlink r:id="rId33" w:tooltip="consultantplus://offline/ref=A0E5B986EA97609381EAFB7796BC1D39980F8570D57E3CF251BA19B470A7F6EF3DEED3FECCA923E7E5BC1DFA421BE3DD39CCC61EB8FB4567x3y8H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статьей 27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Лесного кодекса в случаях и в порядке, которые предусмотрены Лесным </w:t>
            </w:r>
            <w:hyperlink r:id="rId34" w:tooltip="consultantplus://offline/ref=E9748CC926B95EB19148FF8515BCE84AEF23FE624D14BCF8030EF8FA7AD22DAAA17C010D6CE9FBA82AD2CB2481F0A3301FA5B172E8AADD80O3z6H" w:history="1">
              <w:r>
                <w:rPr>
                  <w:rFonts w:ascii="PT Astra Serif" w:hAnsi="PT Astra Serif" w:eastAsia="PT Astra Serif" w:cs="PT Astra Serif"/>
                  <w:sz w:val="20"/>
                  <w:szCs w:val="20"/>
                  <w:lang w:eastAsia="ru-RU"/>
                </w:rPr>
                <w:t xml:space="preserve">кодексом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, другими федеральными законами.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В городских лесах запрещается строительство объектов капитального стро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и гидротехнических сооружений (пункт 5 части 2 статьи 116 Лесного кодекса)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jc w:val="center"/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pStyle w:val="1006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Иные виды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  <w:tc>
          <w:tcPr>
            <w:tcW w:w="7115" w:type="dxa"/>
            <w:textDirection w:val="lrTb"/>
            <w:noWrap w:val="false"/>
          </w:tcPr>
          <w:p>
            <w:pPr>
              <w:pStyle w:val="1006"/>
              <w:ind w:left="0" w:firstLine="0"/>
              <w:jc w:val="both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sz w:val="20"/>
              </w:rPr>
              <w:t xml:space="preserve">-»</w:t>
            </w:r>
            <w:r>
              <w:rPr>
                <w:rFonts w:ascii="PT Astra Serif" w:hAnsi="PT Astra Serif" w:cs="PT Astra Serif"/>
                <w:sz w:val="20"/>
              </w:rPr>
            </w:r>
            <w:r>
              <w:rPr>
                <w:rFonts w:ascii="PT Astra Serif" w:hAnsi="PT Astra Serif" w:cs="PT Astra Serif"/>
                <w:sz w:val="20"/>
              </w:rPr>
            </w:r>
          </w:p>
        </w:tc>
      </w:tr>
    </w:tbl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верск.рф).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 xml:space="preserve">Ильина Марина Анатольевна</w:t>
        <w:br/>
        <w:t xml:space="preserve">+7 (3823) 77-39-75</w:t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851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Arial">
    <w:panose1 w:val="020B0604020202020204"/>
  </w:font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0386099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0386099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97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9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8"/>
            <w:szCs w:val="28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8"/>
            <w:szCs w:val="28"/>
          </w:rPr>
        </w:r>
        <w:r>
          <w:rPr>
            <w:rFonts w:ascii="PT Astra Serif" w:hAnsi="PT Astra Serif" w:cs="PT Astra Serif"/>
            <w:b/>
            <w:sz w:val="28"/>
            <w:szCs w:val="28"/>
          </w:rPr>
        </w:r>
      </w:p>
      <w:p>
        <w:pPr>
          <w:pStyle w:val="990"/>
          <w:jc w:val="center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9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1000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90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997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9">
    <w:name w:val="Heading 1 Char"/>
    <w:basedOn w:val="992"/>
    <w:link w:val="99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20">
    <w:name w:val="Heading 2"/>
    <w:basedOn w:val="989"/>
    <w:next w:val="989"/>
    <w:link w:val="82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21">
    <w:name w:val="Heading 2 Char"/>
    <w:basedOn w:val="992"/>
    <w:link w:val="820"/>
    <w:uiPriority w:val="9"/>
    <w:rPr>
      <w:rFonts w:ascii="Liberation Sans" w:hAnsi="Liberation Sans" w:eastAsia="Liberation Sans" w:cs="Liberation Sans"/>
      <w:sz w:val="34"/>
    </w:rPr>
  </w:style>
  <w:style w:type="paragraph" w:styleId="822">
    <w:name w:val="Heading 3"/>
    <w:basedOn w:val="989"/>
    <w:next w:val="989"/>
    <w:link w:val="82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3">
    <w:name w:val="Heading 3 Char"/>
    <w:basedOn w:val="992"/>
    <w:link w:val="8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4">
    <w:name w:val="Heading 4 Char"/>
    <w:basedOn w:val="992"/>
    <w:link w:val="99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5">
    <w:name w:val="Heading 5"/>
    <w:basedOn w:val="989"/>
    <w:next w:val="989"/>
    <w:link w:val="82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6">
    <w:name w:val="Heading 5 Char"/>
    <w:basedOn w:val="992"/>
    <w:link w:val="82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7">
    <w:name w:val="Heading 6"/>
    <w:basedOn w:val="989"/>
    <w:next w:val="989"/>
    <w:link w:val="82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8">
    <w:name w:val="Heading 6 Char"/>
    <w:basedOn w:val="992"/>
    <w:link w:val="8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9">
    <w:name w:val="Heading 7"/>
    <w:basedOn w:val="989"/>
    <w:next w:val="989"/>
    <w:link w:val="83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0">
    <w:name w:val="Heading 7 Char"/>
    <w:basedOn w:val="992"/>
    <w:link w:val="8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31">
    <w:name w:val="Heading 8"/>
    <w:basedOn w:val="989"/>
    <w:next w:val="989"/>
    <w:link w:val="83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32">
    <w:name w:val="Heading 8 Char"/>
    <w:basedOn w:val="992"/>
    <w:link w:val="8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3">
    <w:name w:val="Heading 9"/>
    <w:basedOn w:val="989"/>
    <w:next w:val="989"/>
    <w:link w:val="83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4">
    <w:name w:val="Heading 9 Char"/>
    <w:basedOn w:val="992"/>
    <w:link w:val="83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5">
    <w:name w:val="List Paragraph"/>
    <w:basedOn w:val="989"/>
    <w:uiPriority w:val="34"/>
    <w:qFormat/>
    <w:pPr>
      <w:contextualSpacing/>
      <w:ind w:left="720"/>
    </w:pPr>
  </w:style>
  <w:style w:type="paragraph" w:styleId="836">
    <w:name w:val="No Spacing"/>
    <w:uiPriority w:val="1"/>
    <w:qFormat/>
    <w:pPr>
      <w:spacing w:before="0" w:after="0" w:line="240" w:lineRule="auto"/>
    </w:pPr>
  </w:style>
  <w:style w:type="paragraph" w:styleId="837">
    <w:name w:val="Title"/>
    <w:basedOn w:val="989"/>
    <w:next w:val="989"/>
    <w:link w:val="8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8">
    <w:name w:val="Title Char"/>
    <w:basedOn w:val="992"/>
    <w:link w:val="837"/>
    <w:uiPriority w:val="10"/>
    <w:rPr>
      <w:sz w:val="48"/>
      <w:szCs w:val="48"/>
    </w:rPr>
  </w:style>
  <w:style w:type="paragraph" w:styleId="839">
    <w:name w:val="Subtitle"/>
    <w:basedOn w:val="989"/>
    <w:next w:val="989"/>
    <w:link w:val="840"/>
    <w:uiPriority w:val="11"/>
    <w:qFormat/>
    <w:pPr>
      <w:spacing w:before="200" w:after="200"/>
    </w:pPr>
    <w:rPr>
      <w:sz w:val="24"/>
      <w:szCs w:val="24"/>
    </w:rPr>
  </w:style>
  <w:style w:type="character" w:styleId="840">
    <w:name w:val="Subtitle Char"/>
    <w:basedOn w:val="992"/>
    <w:link w:val="839"/>
    <w:uiPriority w:val="11"/>
    <w:rPr>
      <w:sz w:val="24"/>
      <w:szCs w:val="24"/>
    </w:rPr>
  </w:style>
  <w:style w:type="paragraph" w:styleId="841">
    <w:name w:val="Quote"/>
    <w:basedOn w:val="989"/>
    <w:next w:val="989"/>
    <w:link w:val="842"/>
    <w:uiPriority w:val="29"/>
    <w:qFormat/>
    <w:pPr>
      <w:ind w:left="720" w:right="720"/>
    </w:pPr>
    <w:rPr>
      <w:i/>
    </w:rPr>
  </w:style>
  <w:style w:type="character" w:styleId="842">
    <w:name w:val="Quote Char"/>
    <w:link w:val="841"/>
    <w:uiPriority w:val="29"/>
    <w:rPr>
      <w:i/>
    </w:rPr>
  </w:style>
  <w:style w:type="paragraph" w:styleId="843">
    <w:name w:val="Intense Quote"/>
    <w:basedOn w:val="989"/>
    <w:next w:val="989"/>
    <w:link w:val="8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4">
    <w:name w:val="Intense Quote Char"/>
    <w:link w:val="843"/>
    <w:uiPriority w:val="30"/>
    <w:rPr>
      <w:i/>
    </w:rPr>
  </w:style>
  <w:style w:type="character" w:styleId="845">
    <w:name w:val="Header Char"/>
    <w:basedOn w:val="992"/>
    <w:link w:val="997"/>
    <w:uiPriority w:val="99"/>
  </w:style>
  <w:style w:type="character" w:styleId="846">
    <w:name w:val="Footer Char"/>
    <w:basedOn w:val="992"/>
    <w:link w:val="998"/>
    <w:uiPriority w:val="99"/>
  </w:style>
  <w:style w:type="paragraph" w:styleId="847">
    <w:name w:val="Caption"/>
    <w:basedOn w:val="989"/>
    <w:next w:val="989"/>
    <w:link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8">
    <w:name w:val="Caption Char"/>
    <w:basedOn w:val="992"/>
    <w:link w:val="847"/>
    <w:uiPriority w:val="35"/>
    <w:rPr>
      <w:b/>
      <w:bCs/>
      <w:color w:val="4f81bd" w:themeColor="accent1"/>
      <w:sz w:val="18"/>
      <w:szCs w:val="18"/>
    </w:rPr>
  </w:style>
  <w:style w:type="table" w:styleId="849">
    <w:name w:val="Table Grid Light"/>
    <w:basedOn w:val="9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0">
    <w:name w:val="Plain Table 1"/>
    <w:basedOn w:val="9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1">
    <w:name w:val="Plain Table 2"/>
    <w:basedOn w:val="9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2">
    <w:name w:val="Plain Table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3">
    <w:name w:val="Plain Table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Plain Table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5">
    <w:name w:val="Grid Table 1 Light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1 Light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Grid Table 1 Light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Grid Table 1 Light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Grid Table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2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2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2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2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2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3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3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3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3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4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7">
    <w:name w:val="Grid Table 4 - Accent 1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8">
    <w:name w:val="Grid Table 4 - Accent 2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Grid Table 4 - Accent 3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80">
    <w:name w:val="Grid Table 4 - Accent 4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Grid Table 4 - Accent 5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82">
    <w:name w:val="Grid Table 4 - Accent 6"/>
    <w:basedOn w:val="9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3">
    <w:name w:val="Grid Table 5 Dark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4">
    <w:name w:val="Grid Table 5 Dark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5">
    <w:name w:val="Grid Table 5 Dark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6">
    <w:name w:val="Grid Table 5 Dark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7">
    <w:name w:val="Grid Table 5 Dark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8">
    <w:name w:val="Grid Table 5 Dark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9">
    <w:name w:val="Grid Table 5 Dark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0">
    <w:name w:val="Grid Table 6 Colorful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91">
    <w:name w:val="Grid Table 6 Colorful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92">
    <w:name w:val="Grid Table 6 Colorful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3">
    <w:name w:val="Grid Table 6 Colorful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4">
    <w:name w:val="Grid Table 6 Colorful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5">
    <w:name w:val="Grid Table 6 Colorful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6">
    <w:name w:val="Grid Table 6 Colorful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7">
    <w:name w:val="Grid Table 7 Colorful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Grid Table 7 Colorful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Grid Table 7 Colorful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Grid Table 7 Colorful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Grid Table 7 Colorful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Grid Table 7 Colorful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1 Light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List Table 1 Light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List Table 1 Light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>
    <w:name w:val="List Table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12">
    <w:name w:val="List Table 2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3">
    <w:name w:val="List Table 2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4">
    <w:name w:val="List Table 2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5">
    <w:name w:val="List Table 2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6">
    <w:name w:val="List Table 2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7">
    <w:name w:val="List Table 2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8">
    <w:name w:val="List Table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3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3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3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4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4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4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5 Dark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5 Dark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6">
    <w:name w:val="List Table 5 Dark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7">
    <w:name w:val="List Table 5 Dark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8">
    <w:name w:val="List Table 5 Dark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9">
    <w:name w:val="List Table 6 Colorful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40">
    <w:name w:val="List Table 6 Colorful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41">
    <w:name w:val="List Table 6 Colorful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42">
    <w:name w:val="List Table 6 Colorful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3">
    <w:name w:val="List Table 6 Colorful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4">
    <w:name w:val="List Table 6 Colorful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5">
    <w:name w:val="List Table 6 Colorful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6">
    <w:name w:val="List Table 7 Colorful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7">
    <w:name w:val="List Table 7 Colorful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8">
    <w:name w:val="List Table 7 Colorful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9">
    <w:name w:val="List Table 7 Colorful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50">
    <w:name w:val="List Table 7 Colorful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51">
    <w:name w:val="List Table 7 Colorful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52">
    <w:name w:val="List Table 7 Colorful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3">
    <w:name w:val="Lined - Accent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4">
    <w:name w:val="Lined - Accent 1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5">
    <w:name w:val="Lined - Accent 2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6">
    <w:name w:val="Lined - Accent 3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7">
    <w:name w:val="Lined - Accent 4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8">
    <w:name w:val="Lined - Accent 5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9">
    <w:name w:val="Lined - Accent 6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0">
    <w:name w:val="Bordered &amp; Lined - Accent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1">
    <w:name w:val="Bordered &amp; Lined - Accent 1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2">
    <w:name w:val="Bordered &amp; Lined - Accent 2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3">
    <w:name w:val="Bordered &amp; Lined - Accent 3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4">
    <w:name w:val="Bordered &amp; Lined - Accent 4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5">
    <w:name w:val="Bordered &amp; Lined - Accent 5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6">
    <w:name w:val="Bordered &amp; Lined - Accent 6"/>
    <w:basedOn w:val="9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7">
    <w:name w:val="Bordered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8">
    <w:name w:val="Bordered - Accent 1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9">
    <w:name w:val="Bordered - Accent 2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70">
    <w:name w:val="Bordered - Accent 3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71">
    <w:name w:val="Bordered - Accent 4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72">
    <w:name w:val="Bordered - Accent 5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3">
    <w:name w:val="Bordered - Accent 6"/>
    <w:basedOn w:val="9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4">
    <w:name w:val="Footnote Text Char"/>
    <w:link w:val="1002"/>
    <w:uiPriority w:val="99"/>
    <w:rPr>
      <w:sz w:val="18"/>
    </w:rPr>
  </w:style>
  <w:style w:type="paragraph" w:styleId="975">
    <w:name w:val="endnote text"/>
    <w:basedOn w:val="989"/>
    <w:link w:val="976"/>
    <w:uiPriority w:val="99"/>
    <w:semiHidden/>
    <w:unhideWhenUsed/>
    <w:pPr>
      <w:spacing w:after="0" w:line="240" w:lineRule="auto"/>
    </w:pPr>
    <w:rPr>
      <w:sz w:val="20"/>
    </w:rPr>
  </w:style>
  <w:style w:type="character" w:styleId="976">
    <w:name w:val="Endnote Text Char"/>
    <w:link w:val="975"/>
    <w:uiPriority w:val="99"/>
    <w:rPr>
      <w:sz w:val="20"/>
    </w:rPr>
  </w:style>
  <w:style w:type="character" w:styleId="977">
    <w:name w:val="endnote reference"/>
    <w:basedOn w:val="992"/>
    <w:uiPriority w:val="99"/>
    <w:semiHidden/>
    <w:unhideWhenUsed/>
    <w:rPr>
      <w:vertAlign w:val="superscript"/>
    </w:rPr>
  </w:style>
  <w:style w:type="paragraph" w:styleId="978">
    <w:name w:val="toc 1"/>
    <w:basedOn w:val="989"/>
    <w:next w:val="989"/>
    <w:uiPriority w:val="39"/>
    <w:unhideWhenUsed/>
    <w:pPr>
      <w:ind w:left="0" w:right="0" w:firstLine="0"/>
      <w:spacing w:after="57"/>
    </w:pPr>
  </w:style>
  <w:style w:type="paragraph" w:styleId="979">
    <w:name w:val="toc 2"/>
    <w:basedOn w:val="989"/>
    <w:next w:val="989"/>
    <w:uiPriority w:val="39"/>
    <w:unhideWhenUsed/>
    <w:pPr>
      <w:ind w:left="283" w:right="0" w:firstLine="0"/>
      <w:spacing w:after="57"/>
    </w:pPr>
  </w:style>
  <w:style w:type="paragraph" w:styleId="980">
    <w:name w:val="toc 3"/>
    <w:basedOn w:val="989"/>
    <w:next w:val="989"/>
    <w:uiPriority w:val="39"/>
    <w:unhideWhenUsed/>
    <w:pPr>
      <w:ind w:left="567" w:right="0" w:firstLine="0"/>
      <w:spacing w:after="57"/>
    </w:pPr>
  </w:style>
  <w:style w:type="paragraph" w:styleId="981">
    <w:name w:val="toc 4"/>
    <w:basedOn w:val="989"/>
    <w:next w:val="989"/>
    <w:uiPriority w:val="39"/>
    <w:unhideWhenUsed/>
    <w:pPr>
      <w:ind w:left="850" w:right="0" w:firstLine="0"/>
      <w:spacing w:after="57"/>
    </w:pPr>
  </w:style>
  <w:style w:type="paragraph" w:styleId="982">
    <w:name w:val="toc 5"/>
    <w:basedOn w:val="989"/>
    <w:next w:val="989"/>
    <w:uiPriority w:val="39"/>
    <w:unhideWhenUsed/>
    <w:pPr>
      <w:ind w:left="1134" w:right="0" w:firstLine="0"/>
      <w:spacing w:after="57"/>
    </w:pPr>
  </w:style>
  <w:style w:type="paragraph" w:styleId="983">
    <w:name w:val="toc 6"/>
    <w:basedOn w:val="989"/>
    <w:next w:val="989"/>
    <w:uiPriority w:val="39"/>
    <w:unhideWhenUsed/>
    <w:pPr>
      <w:ind w:left="1417" w:right="0" w:firstLine="0"/>
      <w:spacing w:after="57"/>
    </w:pPr>
  </w:style>
  <w:style w:type="paragraph" w:styleId="984">
    <w:name w:val="toc 7"/>
    <w:basedOn w:val="989"/>
    <w:next w:val="989"/>
    <w:uiPriority w:val="39"/>
    <w:unhideWhenUsed/>
    <w:pPr>
      <w:ind w:left="1701" w:right="0" w:firstLine="0"/>
      <w:spacing w:after="57"/>
    </w:pPr>
  </w:style>
  <w:style w:type="paragraph" w:styleId="985">
    <w:name w:val="toc 8"/>
    <w:basedOn w:val="989"/>
    <w:next w:val="989"/>
    <w:uiPriority w:val="39"/>
    <w:unhideWhenUsed/>
    <w:pPr>
      <w:ind w:left="1984" w:right="0" w:firstLine="0"/>
      <w:spacing w:after="57"/>
    </w:pPr>
  </w:style>
  <w:style w:type="paragraph" w:styleId="986">
    <w:name w:val="toc 9"/>
    <w:basedOn w:val="989"/>
    <w:next w:val="989"/>
    <w:uiPriority w:val="39"/>
    <w:unhideWhenUsed/>
    <w:pPr>
      <w:ind w:left="2268" w:right="0" w:firstLine="0"/>
      <w:spacing w:after="57"/>
    </w:pPr>
  </w:style>
  <w:style w:type="paragraph" w:styleId="987">
    <w:name w:val="TOC Heading"/>
    <w:uiPriority w:val="39"/>
    <w:unhideWhenUsed/>
  </w:style>
  <w:style w:type="paragraph" w:styleId="988">
    <w:name w:val="table of figures"/>
    <w:basedOn w:val="989"/>
    <w:next w:val="989"/>
    <w:uiPriority w:val="99"/>
    <w:unhideWhenUsed/>
    <w:pPr>
      <w:spacing w:after="0" w:afterAutospacing="0"/>
    </w:pPr>
  </w:style>
  <w:style w:type="paragraph" w:styleId="989" w:default="1">
    <w:name w:val="Normal"/>
    <w:qFormat/>
    <w:rPr>
      <w:rFonts w:ascii="Times New Roman CYR" w:hAnsi="Times New Roman CYR"/>
    </w:rPr>
  </w:style>
  <w:style w:type="paragraph" w:styleId="990">
    <w:name w:val="Heading 1"/>
    <w:basedOn w:val="989"/>
    <w:next w:val="989"/>
    <w:uiPriority w:val="9"/>
    <w:qFormat/>
    <w:pPr>
      <w:jc w:val="center"/>
      <w:keepNext/>
      <w:outlineLvl w:val="0"/>
    </w:pPr>
    <w:rPr>
      <w:b/>
      <w:sz w:val="28"/>
    </w:rPr>
  </w:style>
  <w:style w:type="paragraph" w:styleId="991">
    <w:name w:val="Heading 4"/>
    <w:basedOn w:val="989"/>
    <w:next w:val="989"/>
    <w:uiPriority w:val="9"/>
    <w:qFormat/>
    <w:pPr>
      <w:keepNext/>
      <w:spacing w:before="120"/>
      <w:outlineLvl w:val="3"/>
    </w:pPr>
    <w:rPr>
      <w:sz w:val="24"/>
    </w:rPr>
  </w:style>
  <w:style w:type="character" w:styleId="992" w:default="1">
    <w:name w:val="Default Paragraph Font"/>
    <w:uiPriority w:val="1"/>
    <w:semiHidden/>
    <w:unhideWhenUsed/>
  </w:style>
  <w:style w:type="table" w:styleId="9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4" w:default="1">
    <w:name w:val="No List"/>
    <w:uiPriority w:val="99"/>
    <w:semiHidden/>
    <w:unhideWhenUsed/>
  </w:style>
  <w:style w:type="paragraph" w:styleId="995">
    <w:name w:val="Plain Text"/>
    <w:basedOn w:val="989"/>
    <w:rPr>
      <w:rFonts w:ascii="Courier New" w:hAnsi="Courier New" w:cs="Courier New"/>
    </w:rPr>
  </w:style>
  <w:style w:type="character" w:styleId="996">
    <w:name w:val="Hyperlink"/>
    <w:basedOn w:val="992"/>
    <w:uiPriority w:val="99"/>
    <w:rPr>
      <w:color w:val="0000ff"/>
      <w:u w:val="single"/>
    </w:rPr>
  </w:style>
  <w:style w:type="paragraph" w:styleId="997">
    <w:name w:val="Header"/>
    <w:basedOn w:val="989"/>
    <w:link w:val="1005"/>
    <w:uiPriority w:val="99"/>
    <w:pPr>
      <w:tabs>
        <w:tab w:val="center" w:pos="4677" w:leader="none"/>
        <w:tab w:val="right" w:pos="9355" w:leader="none"/>
      </w:tabs>
    </w:pPr>
  </w:style>
  <w:style w:type="paragraph" w:styleId="998">
    <w:name w:val="Footer"/>
    <w:basedOn w:val="989"/>
    <w:link w:val="1001"/>
    <w:uiPriority w:val="99"/>
    <w:pPr>
      <w:tabs>
        <w:tab w:val="center" w:pos="4677" w:leader="none"/>
        <w:tab w:val="right" w:pos="9355" w:leader="none"/>
      </w:tabs>
    </w:pPr>
  </w:style>
  <w:style w:type="paragraph" w:styleId="999">
    <w:name w:val="Balloon Text"/>
    <w:basedOn w:val="989"/>
    <w:semiHidden/>
    <w:rPr>
      <w:rFonts w:ascii="Tahoma" w:hAnsi="Tahoma" w:cs="Tahoma"/>
      <w:sz w:val="16"/>
      <w:szCs w:val="16"/>
    </w:rPr>
  </w:style>
  <w:style w:type="table" w:styleId="1000">
    <w:name w:val="Table Grid"/>
    <w:basedOn w:val="99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01" w:customStyle="1">
    <w:name w:val="Нижний колонтитул Знак"/>
    <w:link w:val="998"/>
    <w:rPr>
      <w:rFonts w:ascii="Times New Roman CYR" w:hAnsi="Times New Roman CYR"/>
    </w:rPr>
  </w:style>
  <w:style w:type="paragraph" w:styleId="1002">
    <w:name w:val="footnote text"/>
    <w:basedOn w:val="989"/>
    <w:link w:val="1003"/>
    <w:uiPriority w:val="99"/>
    <w:semiHidden/>
    <w:unhideWhenUsed/>
  </w:style>
  <w:style w:type="character" w:styleId="1003" w:customStyle="1">
    <w:name w:val="Текст сноски Знак"/>
    <w:basedOn w:val="992"/>
    <w:link w:val="1002"/>
    <w:uiPriority w:val="99"/>
    <w:semiHidden/>
    <w:rPr>
      <w:rFonts w:ascii="Times New Roman CYR" w:hAnsi="Times New Roman CYR"/>
    </w:rPr>
  </w:style>
  <w:style w:type="character" w:styleId="1004">
    <w:name w:val="footnote reference"/>
    <w:basedOn w:val="992"/>
    <w:uiPriority w:val="99"/>
    <w:semiHidden/>
    <w:unhideWhenUsed/>
    <w:rPr>
      <w:vertAlign w:val="superscript"/>
    </w:rPr>
  </w:style>
  <w:style w:type="character" w:styleId="1005" w:customStyle="1">
    <w:name w:val="Верхний колонтитул Знак"/>
    <w:basedOn w:val="992"/>
    <w:link w:val="997"/>
    <w:uiPriority w:val="99"/>
    <w:rPr>
      <w:rFonts w:ascii="Times New Roman CYR" w:hAnsi="Times New Roman CYR"/>
    </w:rPr>
  </w:style>
  <w:style w:type="paragraph" w:styleId="100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07" w:customStyle="1">
    <w:name w:val="Defaul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cs="PT Astra Serif" w:eastAsiaTheme="minorHAnsi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1008" w:customStyle="1">
    <w:name w:val="_табл"/>
    <w:basedOn w:val="1009"/>
    <w:qFormat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09" w:customStyle="1">
    <w:name w:val="_текст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cs="Times New Roman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10" w:customStyle="1">
    <w:name w:val="_заголовок"/>
    <w:qFormat/>
    <w:pPr>
      <w:contextualSpacing w:val="0"/>
      <w:ind w:left="0" w:right="0" w:firstLine="0"/>
      <w:jc w:val="center"/>
      <w:keepLines/>
      <w:keepNext/>
      <w:pageBreakBefore w:val="0"/>
      <w:spacing w:before="120" w:beforeAutospacing="0" w:after="120" w:afterAutospacing="0" w:line="36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  <w:suppressLineNumbers w:val="0"/>
    </w:pPr>
    <w:rPr>
      <w:rFonts w:ascii="PT Astra Serif" w:hAnsi="PT Astra Serif" w:eastAsiaTheme="majorEastAsia" w:cstheme="majorBidi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11" w:customStyle="1">
    <w:name w:val="5 Текст"/>
    <w:link w:val="871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eastAsia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1012" w:customStyle="1">
    <w:name w:val="formattext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https://docs.cntd.ru/document/456069184" TargetMode="External"/><Relationship Id="rId15" Type="http://schemas.openxmlformats.org/officeDocument/2006/relationships/hyperlink" Target="https://login.consultant.ru/link/?rnd=713AC7B74BE0A6D37AC69A3A61C3F698&amp;req=doc&amp;base=RZR&amp;n=370353&amp;REFFIELD=134&amp;REFDST=100041&amp;REFDOC=368796&amp;REFBASE=RZR&amp;stat=refcode%3D16876%3Bindex%3D75&amp;date=27.01.2021" TargetMode="External"/><Relationship Id="rId16" Type="http://schemas.openxmlformats.org/officeDocument/2006/relationships/hyperlink" Target="https://login.consultant.ru/link/?rnd=713AC7B74BE0A6D37AC69A3A61C3F698&amp;req=doc&amp;base=RZR&amp;n=371954&amp;REFFIELD=134&amp;REFDST=100041&amp;REFDOC=368796&amp;REFBASE=RZR&amp;stat=refcode%3D16876%3Bindex%3D75&amp;date=27.01.2021" TargetMode="External"/><Relationship Id="rId17" Type="http://schemas.openxmlformats.org/officeDocument/2006/relationships/hyperlink" Target="https://login.consultant.ru/link/?req=doc&amp;base=LAW&amp;n=316559" TargetMode="External"/><Relationship Id="rId18" Type="http://schemas.openxmlformats.org/officeDocument/2006/relationships/hyperlink" Target="https://login.consultant.ru/link/?req=doc&amp;base=LAW&amp;n=334242&amp;dst=100009" TargetMode="External"/><Relationship Id="rId19" Type="http://schemas.openxmlformats.org/officeDocument/2006/relationships/hyperlink" Target="https://login.consultant.ru/link/?rnd=713AC7B74BE0A6D37AC69A3A61C3F698&amp;req=doc&amp;base=RZR&amp;n=371954&amp;REFFIELD=134&amp;REFDST=100041&amp;REFDOC=368796&amp;REFBASE=RZR&amp;stat=refcode%3D16876%3Bindex%3D75&amp;date=27.01.2021" TargetMode="External"/><Relationship Id="rId20" Type="http://schemas.openxmlformats.org/officeDocument/2006/relationships/hyperlink" Target="https://login.consultant.ru/link/?rnd=713AC7B74BE0A6D37AC69A3A61C3F698&amp;req=doc&amp;base=RZR&amp;n=371953&amp;dst=100050&amp;fld=134&amp;REFFIELD=134&amp;REFDST=100044&amp;REFDOC=368796&amp;REFBASE=RZR&amp;stat=refcode%3D16876%3Bdstident%3D100050%3Bindex%3D79&amp;date=27.01.2021" TargetMode="External"/><Relationship Id="rId21" Type="http://schemas.openxmlformats.org/officeDocument/2006/relationships/hyperlink" Target="https://login.consultant.ru/link/?req=doc&amp;base=LAW&amp;n=364560&amp;dst=100018" TargetMode="External"/><Relationship Id="rId22" Type="http://schemas.openxmlformats.org/officeDocument/2006/relationships/hyperlink" Target="https://www.consultant.ru/document/cons_doc_LAW_64299/620027d64ec9c59611790b949c64c603a0899a41/" TargetMode="External"/><Relationship Id="rId23" Type="http://schemas.openxmlformats.org/officeDocument/2006/relationships/hyperlink" Target="https://www.consultant.ru/document/cons_doc_LAW_64299/620027d64ec9c59611790b949c64c603a0899a41/" TargetMode="External"/><Relationship Id="rId24" Type="http://schemas.openxmlformats.org/officeDocument/2006/relationships/hyperlink" Target="https://docs.cntd.ru/document/1304465798" TargetMode="External"/><Relationship Id="rId25" Type="http://schemas.openxmlformats.org/officeDocument/2006/relationships/hyperlink" Target="consultantplus://offline/ref=CD911E6EB1074810CF3EDEFA772154E64E1C79CCAF6D4BF663357062D9FBF09001FCC098D2DC3CA8FC6E6D4D7435D2081B4F4F95D5FA5CACTD60M" TargetMode="External"/><Relationship Id="rId26" Type="http://schemas.openxmlformats.org/officeDocument/2006/relationships/hyperlink" Target="https://login.consultant.ru/link/?req=doc&amp;base=LAW&amp;n=470040&amp;dst=100164" TargetMode="External"/><Relationship Id="rId27" Type="http://schemas.openxmlformats.org/officeDocument/2006/relationships/hyperlink" Target="https://login.consultant.ru/link/?req=doc&amp;base=LAW&amp;n=471038" TargetMode="External"/><Relationship Id="rId28" Type="http://schemas.openxmlformats.org/officeDocument/2006/relationships/hyperlink" Target="https://login.consultant.ru/link/?req=doc&amp;base=LAW&amp;n=471038" TargetMode="External"/><Relationship Id="rId29" Type="http://schemas.openxmlformats.org/officeDocument/2006/relationships/hyperlink" Target="https://login.consultant.ru/link/?req=doc&amp;base=LAW&amp;n=470040&amp;dst=1734" TargetMode="External"/><Relationship Id="rId30" Type="http://schemas.openxmlformats.org/officeDocument/2006/relationships/hyperlink" Target="https://login.consultant.ru/link/?req=doc&amp;base=LAW&amp;n=470040&amp;dst=1735" TargetMode="External"/><Relationship Id="rId31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32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33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34" Type="http://schemas.openxmlformats.org/officeDocument/2006/relationships/hyperlink" Target="consultantplus://offline/ref=E9748CC926B95EB19148FF8515BCE84AEF23FE624D14BCF8030EF8FA7AD22DAAA17C010D6CE9FBA82AD2CB2481F0A3301FA5B172E8AADD80O3z6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72</cp:revision>
  <dcterms:created xsi:type="dcterms:W3CDTF">2018-11-29T06:08:00Z</dcterms:created>
  <dcterms:modified xsi:type="dcterms:W3CDTF">2026-10-27T02:53:24Z</dcterms:modified>
</cp:coreProperties>
</file>