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header+xml" PartName="/word/header1.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12000000">
      <w:pPr>
        <w:ind/>
        <w:jc w:val="center"/>
      </w:pPr>
      <w:bookmarkStart w:id="1" w:name="СодержаниеСтарт"/>
      <w:bookmarkEnd w:id="1"/>
    </w:p>
    <w:tbl>
      <w:tblPr>
        <w:tblStyle w:val="Style_2"/>
        <w:tblLayout w:type="fixed"/>
      </w:tblPr>
      <w:tblGrid>
        <w:gridCol w:w="8028"/>
      </w:tblGrid>
      <w:tr>
        <w:tc>
          <w:tcPr>
            <w:tcW w:type="dxa" w:w="8028"/>
            <w:tcBorders>
              <w:top w:sz="4" w:val="nil"/>
              <w:left w:sz="4" w:val="nil"/>
              <w:bottom w:sz="4" w:val="nil"/>
              <w:right w:sz="4" w:val="nil"/>
            </w:tcBorders>
          </w:tcPr>
          <w:p w14:paraId="13000000">
            <w:pPr>
              <w:ind/>
              <w:jc w:val="center"/>
              <w:rPr>
                <w:rFonts w:ascii="Times New Roman" w:hAnsi="Times New Roman"/>
                <w:sz w:val="24"/>
              </w:rPr>
            </w:pPr>
            <w:r>
              <w:rPr>
                <w:rFonts w:ascii="Times New Roman" w:hAnsi="Times New Roman"/>
                <w:sz w:val="24"/>
              </w:rPr>
              <w:t>О внесении изменений в постановление</w:t>
            </w:r>
          </w:p>
          <w:p w14:paraId="14000000">
            <w:pPr>
              <w:ind/>
              <w:jc w:val="center"/>
              <w:rPr>
                <w:rFonts w:ascii="Times New Roman" w:hAnsi="Times New Roman"/>
                <w:sz w:val="28"/>
              </w:rPr>
            </w:pPr>
            <w:r>
              <w:rPr>
                <w:rFonts w:ascii="Times New Roman" w:hAnsi="Times New Roman"/>
                <w:sz w:val="24"/>
              </w:rPr>
              <w:t>Администрации ЗАТО Северск от 10.06.2019 № 1149</w:t>
            </w:r>
          </w:p>
        </w:tc>
      </w:tr>
    </w:tbl>
    <w:p w14:paraId="15000000">
      <w:pPr>
        <w:rPr>
          <w:rFonts w:ascii="Times New Roman" w:hAnsi="Times New Roman"/>
          <w:sz w:val="24"/>
        </w:rPr>
      </w:pPr>
    </w:p>
    <w:p w14:paraId="16000000">
      <w:pPr>
        <w:tabs>
          <w:tab w:leader="none" w:pos="709" w:val="left"/>
        </w:tabs>
        <w:ind/>
        <w:jc w:val="both"/>
        <w:rPr>
          <w:rFonts w:ascii="Times New Roman" w:hAnsi="Times New Roman"/>
          <w:sz w:val="24"/>
        </w:rPr>
      </w:pPr>
    </w:p>
    <w:p w14:paraId="17000000">
      <w:pPr>
        <w:ind/>
        <w:jc w:val="center"/>
        <w:rPr>
          <w:rFonts w:ascii="Times New Roman" w:hAnsi="Times New Roman"/>
          <w:sz w:val="24"/>
        </w:rPr>
      </w:pPr>
    </w:p>
    <w:p w14:paraId="18000000">
      <w:pPr>
        <w:ind w:firstLine="709" w:left="0"/>
        <w:jc w:val="both"/>
        <w:rPr>
          <w:rFonts w:ascii="Times New Roman" w:hAnsi="Times New Roman"/>
          <w:sz w:val="24"/>
        </w:rPr>
      </w:pPr>
      <w:r>
        <w:rPr>
          <w:rFonts w:ascii="Times New Roman" w:hAnsi="Times New Roman"/>
          <w:sz w:val="24"/>
        </w:rPr>
        <w:t>В соответствии со статьей 78 Бюджетного кодекса Российской Федерации, постановлением Правительства Российской Федерации от 25.10.2023 № 1782</w:t>
      </w:r>
      <w:r>
        <w:rPr>
          <w:rFonts w:ascii="Times New Roman" w:hAnsi="Times New Roman"/>
          <w:sz w:val="24"/>
        </w:rPr>
        <w:br/>
      </w:r>
      <w:r>
        <w:rPr>
          <w:rFonts w:ascii="Times New Roman" w:hAnsi="Times New Roman"/>
          <w:sz w:val="24"/>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w:t>
      </w:r>
      <w:r>
        <w:rPr>
          <w:rFonts w:ascii="Times New Roman" w:hAnsi="Times New Roman"/>
          <w:sz w:val="24"/>
        </w:rPr>
        <w:br/>
      </w:r>
      <w:r>
        <w:rPr>
          <w:rFonts w:ascii="Times New Roman" w:hAnsi="Times New Roman"/>
          <w:sz w:val="24"/>
        </w:rPr>
        <w:t>- производителям товаров, работ, услуг и проведение отборов получателей указанных субсидий, в том числе грантов в форме субсидий», статьями 30 и 42 Устава городского округа ЗАТО Северск Томской области</w:t>
      </w:r>
    </w:p>
    <w:p w14:paraId="19000000">
      <w:pPr>
        <w:ind w:firstLine="709" w:left="0"/>
        <w:jc w:val="both"/>
        <w:rPr>
          <w:rFonts w:ascii="Times New Roman" w:hAnsi="Times New Roman"/>
          <w:sz w:val="24"/>
        </w:rPr>
      </w:pPr>
    </w:p>
    <w:p w14:paraId="1A000000">
      <w:pPr>
        <w:ind/>
        <w:jc w:val="center"/>
        <w:rPr>
          <w:rFonts w:ascii="Times New Roman" w:hAnsi="Times New Roman"/>
          <w:sz w:val="24"/>
        </w:rPr>
      </w:pPr>
      <w:r>
        <w:rPr>
          <w:rFonts w:ascii="Times New Roman" w:hAnsi="Times New Roman"/>
          <w:sz w:val="24"/>
        </w:rPr>
        <w:t>ПОСТАНОВЛЯЕТ:</w:t>
      </w:r>
    </w:p>
    <w:p w14:paraId="1B000000">
      <w:pPr>
        <w:rPr>
          <w:rFonts w:ascii="Times New Roman" w:hAnsi="Times New Roman"/>
          <w:sz w:val="24"/>
        </w:rPr>
      </w:pPr>
    </w:p>
    <w:p w14:paraId="1C000000">
      <w:pPr>
        <w:widowControl w:val="0"/>
        <w:ind w:firstLine="709" w:left="0"/>
        <w:jc w:val="both"/>
        <w:rPr>
          <w:rFonts w:ascii="Times New Roman" w:hAnsi="Times New Roman"/>
          <w:sz w:val="24"/>
        </w:rPr>
      </w:pPr>
      <w:r>
        <w:rPr>
          <w:rFonts w:ascii="Times New Roman" w:hAnsi="Times New Roman"/>
          <w:sz w:val="24"/>
        </w:rPr>
        <w:t>1. Внести в постановление Администрации ЗАТО Северск от 10.06.2019 № 1149</w:t>
      </w:r>
      <w:r>
        <w:rPr>
          <w:rFonts w:ascii="Times New Roman" w:hAnsi="Times New Roman"/>
          <w:sz w:val="24"/>
        </w:rPr>
        <w:br/>
      </w:r>
      <w:r>
        <w:rPr>
          <w:rFonts w:ascii="Times New Roman" w:hAnsi="Times New Roman"/>
          <w:sz w:val="24"/>
        </w:rPr>
        <w:t>«Об утверждении Порядка предоставления субсидий на развитие личных подсобных хозяйств, развитие крестьянских (фермерских) хозяйств и индивидуальных предпринимателей, являющихся сельскохозяйственными товаропроизводителями» следующие изменения:</w:t>
      </w:r>
    </w:p>
    <w:p w14:paraId="1D000000">
      <w:pPr>
        <w:ind w:firstLine="709" w:left="0"/>
        <w:jc w:val="both"/>
        <w:rPr>
          <w:rFonts w:ascii="Times New Roman" w:hAnsi="Times New Roman"/>
          <w:sz w:val="24"/>
        </w:rPr>
      </w:pPr>
      <w:r>
        <w:rPr>
          <w:rFonts w:ascii="Times New Roman" w:hAnsi="Times New Roman"/>
          <w:sz w:val="24"/>
        </w:rPr>
        <w:t>1) преамбулу изложить в следующей редакции:</w:t>
      </w:r>
    </w:p>
    <w:p w14:paraId="1E000000">
      <w:pPr>
        <w:ind w:firstLine="708" w:left="0"/>
        <w:jc w:val="both"/>
        <w:rPr>
          <w:rFonts w:ascii="Times New Roman" w:hAnsi="Times New Roman"/>
          <w:sz w:val="24"/>
        </w:rPr>
      </w:pPr>
      <w:r>
        <w:rPr>
          <w:rFonts w:ascii="Times New Roman" w:hAnsi="Times New Roman"/>
          <w:sz w:val="24"/>
        </w:rPr>
        <w:t>«В соответствии со статьей 78 Бюджетного кодекса Российской Федерации, постановлением Правительства Российской Федерации от 25.10.2023 № 1782</w:t>
      </w:r>
      <w:r>
        <w:rPr>
          <w:rFonts w:ascii="Times New Roman" w:hAnsi="Times New Roman"/>
          <w:sz w:val="24"/>
        </w:rPr>
        <w:br/>
      </w:r>
      <w:r>
        <w:rPr>
          <w:rFonts w:ascii="Times New Roman" w:hAnsi="Times New Roman"/>
          <w:sz w:val="24"/>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статьей 42 Устава городского округа ЗАТО Северск Томской области» ПОСТАНОВЛЯЕТ:»;</w:t>
      </w:r>
    </w:p>
    <w:p w14:paraId="1F000000">
      <w:pPr>
        <w:ind w:firstLine="709" w:left="0"/>
        <w:jc w:val="both"/>
        <w:rPr>
          <w:rFonts w:ascii="Times New Roman" w:hAnsi="Times New Roman"/>
          <w:sz w:val="24"/>
        </w:rPr>
      </w:pPr>
      <w:r>
        <w:rPr>
          <w:rFonts w:ascii="Times New Roman" w:hAnsi="Times New Roman"/>
          <w:sz w:val="24"/>
        </w:rPr>
        <w:t>2) в Порядке предоставления субсидий на развитие личных подсобных хозяйств, развитие крестьянских (фермерских) хозяйств и индивидуальных предпринимателей, являющихся сельскохозяйственными товаропроизводителями, утвержденного указанным постановлением:</w:t>
      </w:r>
    </w:p>
    <w:p w14:paraId="20000000">
      <w:pPr>
        <w:ind w:firstLine="709" w:left="0"/>
        <w:jc w:val="both"/>
        <w:rPr>
          <w:rFonts w:ascii="Times New Roman" w:hAnsi="Times New Roman"/>
          <w:sz w:val="24"/>
        </w:rPr>
      </w:pPr>
      <w:r>
        <w:rPr>
          <w:rFonts w:ascii="Times New Roman" w:hAnsi="Times New Roman"/>
          <w:sz w:val="24"/>
        </w:rPr>
        <w:t>а) подпункт 2 пункта 4 изложить в следующей редакции:</w:t>
      </w:r>
    </w:p>
    <w:p w14:paraId="21000000">
      <w:pPr>
        <w:ind w:firstLine="709" w:left="0"/>
        <w:jc w:val="both"/>
        <w:rPr>
          <w:rFonts w:ascii="Times New Roman" w:hAnsi="Times New Roman"/>
          <w:sz w:val="24"/>
        </w:rPr>
      </w:pPr>
      <w:r>
        <w:rPr>
          <w:rFonts w:ascii="Times New Roman" w:hAnsi="Times New Roman"/>
          <w:sz w:val="24"/>
        </w:rPr>
        <w:t>«2) наличие у сельскохозяйственного товаропроизводителя расчетного или корреспондентского счета, открытого в учреждениях Центрального банка Российской Федерации или кредитных организациях;»;</w:t>
      </w:r>
    </w:p>
    <w:p w14:paraId="22000000">
      <w:pPr>
        <w:ind w:firstLine="709" w:left="0"/>
        <w:jc w:val="both"/>
        <w:rPr>
          <w:rFonts w:ascii="Times New Roman" w:hAnsi="Times New Roman"/>
          <w:sz w:val="24"/>
        </w:rPr>
      </w:pPr>
      <w:r>
        <w:rPr>
          <w:rFonts w:ascii="Times New Roman" w:hAnsi="Times New Roman"/>
          <w:sz w:val="24"/>
        </w:rPr>
        <w:t>б) подпункт 4 пункта 4 изложить в следующей редакции:</w:t>
      </w:r>
    </w:p>
    <w:p w14:paraId="23000000">
      <w:pPr>
        <w:ind w:firstLine="708" w:left="0"/>
        <w:jc w:val="both"/>
        <w:rPr>
          <w:rFonts w:ascii="Times New Roman" w:hAnsi="Times New Roman"/>
          <w:sz w:val="24"/>
        </w:rPr>
      </w:pPr>
      <w:r>
        <w:rPr>
          <w:rFonts w:ascii="Times New Roman" w:hAnsi="Times New Roman"/>
          <w:sz w:val="24"/>
        </w:rPr>
        <w:t>«4) наличие заключенного между УВГТ Администрации ЗАТО Северск</w:t>
      </w:r>
      <w:r>
        <w:rPr>
          <w:rFonts w:ascii="Times New Roman" w:hAnsi="Times New Roman"/>
          <w:sz w:val="24"/>
        </w:rPr>
        <w:br/>
      </w:r>
      <w:r>
        <w:rPr>
          <w:rFonts w:ascii="Times New Roman" w:hAnsi="Times New Roman"/>
          <w:sz w:val="24"/>
        </w:rPr>
        <w:t xml:space="preserve">и сельскохозяйственным товаропроизводителем </w:t>
      </w:r>
      <w:r>
        <w:rPr>
          <w:rFonts w:ascii="Times New Roman" w:hAnsi="Times New Roman"/>
          <w:sz w:val="24"/>
        </w:rPr>
        <w:t>в соответствии с типовыми формами,</w:t>
      </w:r>
      <w:r>
        <w:rPr>
          <w:rFonts w:ascii="Times New Roman" w:hAnsi="Times New Roman"/>
          <w:sz w:val="24"/>
        </w:rPr>
        <w:t xml:space="preserve"> утвержденными приказом Финансового управления Администрации ЗАТО Северск, соглашения о предоставлении субсидии;»;</w:t>
      </w:r>
    </w:p>
    <w:p w14:paraId="24000000">
      <w:pPr>
        <w:ind w:firstLine="709" w:left="0"/>
        <w:jc w:val="both"/>
        <w:rPr>
          <w:rFonts w:ascii="Times New Roman" w:hAnsi="Times New Roman"/>
          <w:sz w:val="24"/>
        </w:rPr>
      </w:pPr>
      <w:r>
        <w:rPr>
          <w:rFonts w:ascii="Times New Roman" w:hAnsi="Times New Roman"/>
          <w:sz w:val="24"/>
        </w:rPr>
        <w:t>в) пункт 4 дополнить подпунктом 7 следующего содержания:</w:t>
      </w:r>
    </w:p>
    <w:p w14:paraId="25000000">
      <w:pPr>
        <w:ind/>
        <w:jc w:val="both"/>
        <w:rPr>
          <w:rFonts w:ascii="Times New Roman" w:hAnsi="Times New Roman"/>
          <w:sz w:val="24"/>
        </w:rPr>
      </w:pPr>
      <w:r>
        <w:rPr>
          <w:rFonts w:ascii="Times New Roman" w:hAnsi="Times New Roman"/>
          <w:sz w:val="24"/>
        </w:rPr>
        <w:tab/>
      </w:r>
      <w:r>
        <w:rPr>
          <w:rFonts w:ascii="Times New Roman" w:hAnsi="Times New Roman"/>
          <w:sz w:val="24"/>
        </w:rPr>
        <w:t>«7) требования, которым должны соответствовать получатели субсидии на первое число месяца, предшествующего месяцу, в котором планируется заключение соглашения:</w:t>
      </w:r>
    </w:p>
    <w:p w14:paraId="26000000">
      <w:pPr>
        <w:ind w:firstLine="709" w:left="0"/>
        <w:jc w:val="both"/>
        <w:rPr>
          <w:rFonts w:ascii="Times New Roman" w:hAnsi="Times New Roman"/>
          <w:sz w:val="24"/>
        </w:rPr>
      </w:pPr>
      <w:r>
        <w:rPr>
          <w:rFonts w:ascii="Times New Roman" w:hAnsi="Times New Roman"/>
          <w:sz w:val="24"/>
        </w:rPr>
        <w:t>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w:t>
      </w:r>
      <w:r>
        <w:rPr>
          <w:rFonts w:ascii="Times New Roman" w:hAnsi="Times New Roman"/>
          <w:sz w:val="24"/>
        </w:rPr>
        <w:br/>
      </w:r>
      <w:r>
        <w:rPr>
          <w:rFonts w:ascii="Times New Roman" w:hAnsi="Times New Roman"/>
          <w:sz w:val="24"/>
        </w:rPr>
        <w:t>в утвержденный Министерством финансов Российской Федерации перечень государств</w:t>
      </w:r>
      <w:r>
        <w:rPr>
          <w:rFonts w:ascii="Times New Roman" w:hAnsi="Times New Roman"/>
          <w:sz w:val="24"/>
        </w:rPr>
        <w:br/>
      </w:r>
      <w:r>
        <w:rPr>
          <w:rFonts w:ascii="Times New Roman" w:hAnsi="Times New Roman"/>
          <w:sz w:val="24"/>
        </w:rPr>
        <w:t>и территорий, используемых для промежуточного (офшорного) владения активами</w:t>
      </w:r>
      <w:r>
        <w:rPr>
          <w:rFonts w:ascii="Times New Roman" w:hAnsi="Times New Roman"/>
          <w:sz w:val="24"/>
        </w:rPr>
        <w:br/>
      </w:r>
      <w:r>
        <w:rPr>
          <w:rFonts w:ascii="Times New Roman" w:hAnsi="Times New Roman"/>
          <w:sz w:val="24"/>
        </w:rPr>
        <w:t>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w:t>
      </w:r>
      <w:r>
        <w:rPr>
          <w:rFonts w:ascii="Times New Roman" w:hAnsi="Times New Roman"/>
          <w:sz w:val="24"/>
        </w:rPr>
        <w:br/>
      </w:r>
      <w:r>
        <w:rPr>
          <w:rFonts w:ascii="Times New Roman" w:hAnsi="Times New Roman"/>
          <w:sz w:val="24"/>
        </w:rPr>
        <w:t>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w:t>
      </w:r>
      <w:r>
        <w:rPr>
          <w:rFonts w:ascii="Times New Roman" w:hAnsi="Times New Roman"/>
          <w:sz w:val="24"/>
        </w:rPr>
        <w:br/>
      </w:r>
      <w:r>
        <w:rPr>
          <w:rFonts w:ascii="Times New Roman" w:hAnsi="Times New Roman"/>
          <w:sz w:val="24"/>
        </w:rPr>
        <w:t>в капитале указанных публичных акционерных обществ;</w:t>
      </w:r>
    </w:p>
    <w:p w14:paraId="27000000">
      <w:pPr>
        <w:ind w:firstLine="709" w:left="0"/>
        <w:jc w:val="both"/>
        <w:rPr>
          <w:rFonts w:ascii="Times New Roman" w:hAnsi="Times New Roman"/>
          <w:sz w:val="24"/>
        </w:rPr>
      </w:pPr>
      <w:r>
        <w:rPr>
          <w:rFonts w:ascii="Times New Roman" w:hAnsi="Times New Roman"/>
          <w:sz w:val="24"/>
        </w:rPr>
        <w:t>б) получатель субсидии не находится в перечне организаций и физических лиц,</w:t>
      </w:r>
      <w:r>
        <w:rPr>
          <w:rFonts w:ascii="Times New Roman" w:hAnsi="Times New Roman"/>
          <w:sz w:val="24"/>
        </w:rPr>
        <w:br/>
      </w:r>
      <w:r>
        <w:rPr>
          <w:rFonts w:ascii="Times New Roman" w:hAnsi="Times New Roman"/>
          <w:sz w:val="24"/>
        </w:rPr>
        <w:t>в отношении которых имеются сведения об их причастности к экстремистской деятельности или терроризму;</w:t>
      </w:r>
    </w:p>
    <w:p w14:paraId="28000000">
      <w:pPr>
        <w:ind w:firstLine="709" w:left="0"/>
        <w:jc w:val="both"/>
        <w:rPr>
          <w:rFonts w:ascii="Times New Roman" w:hAnsi="Times New Roman"/>
          <w:sz w:val="24"/>
        </w:rPr>
      </w:pPr>
      <w:r>
        <w:rPr>
          <w:rFonts w:ascii="Times New Roman" w:hAnsi="Times New Roman"/>
          <w:sz w:val="24"/>
        </w:rPr>
        <w:t>в) получатель субсидии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w:t>
      </w:r>
      <w:r>
        <w:rPr>
          <w:rFonts w:ascii="Times New Roman" w:hAnsi="Times New Roman"/>
          <w:sz w:val="24"/>
        </w:rPr>
        <w:br/>
      </w:r>
      <w:r>
        <w:rPr>
          <w:rFonts w:ascii="Times New Roman" w:hAnsi="Times New Roman"/>
          <w:sz w:val="24"/>
        </w:rPr>
        <w:t>организаций и физических лиц, связанных с террористическими организациями</w:t>
      </w:r>
      <w:r>
        <w:rPr>
          <w:rFonts w:ascii="Times New Roman" w:hAnsi="Times New Roman"/>
          <w:sz w:val="24"/>
        </w:rPr>
        <w:br/>
      </w:r>
      <w:r>
        <w:rPr>
          <w:rFonts w:ascii="Times New Roman" w:hAnsi="Times New Roman"/>
          <w:sz w:val="24"/>
        </w:rPr>
        <w:t xml:space="preserve">и </w:t>
      </w:r>
      <w:r>
        <w:rPr>
          <w:rFonts w:ascii="Times New Roman" w:hAnsi="Times New Roman"/>
          <w:sz w:val="24"/>
        </w:rPr>
        <w:t>террористами  или</w:t>
      </w:r>
      <w:r>
        <w:rPr>
          <w:rFonts w:ascii="Times New Roman" w:hAnsi="Times New Roman"/>
          <w:sz w:val="24"/>
        </w:rPr>
        <w:t xml:space="preserve"> с распространением оружия массового уничтожения;</w:t>
      </w:r>
    </w:p>
    <w:p w14:paraId="29000000">
      <w:pPr>
        <w:ind w:firstLine="709" w:left="0"/>
        <w:jc w:val="both"/>
        <w:rPr>
          <w:rFonts w:ascii="Times New Roman" w:hAnsi="Times New Roman"/>
          <w:sz w:val="24"/>
        </w:rPr>
      </w:pPr>
      <w:r>
        <w:rPr>
          <w:rFonts w:ascii="Times New Roman" w:hAnsi="Times New Roman"/>
          <w:sz w:val="24"/>
        </w:rPr>
        <w:t>г) получатель субсидии не получает средства из бюджета ЗАТО Северск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2A000000">
      <w:pPr>
        <w:ind w:firstLine="709" w:left="0"/>
        <w:jc w:val="both"/>
        <w:rPr>
          <w:rFonts w:ascii="Times New Roman" w:hAnsi="Times New Roman"/>
          <w:sz w:val="24"/>
        </w:rPr>
      </w:pPr>
      <w:r>
        <w:rPr>
          <w:rFonts w:ascii="Times New Roman" w:hAnsi="Times New Roman"/>
          <w:sz w:val="24"/>
        </w:rPr>
        <w:t>д) получатель субсидии не является иностранным агентом в соответствии</w:t>
      </w:r>
      <w:r>
        <w:rPr>
          <w:rFonts w:ascii="Times New Roman" w:hAnsi="Times New Roman"/>
          <w:sz w:val="24"/>
        </w:rPr>
        <w:br/>
      </w:r>
      <w:r>
        <w:rPr>
          <w:rFonts w:ascii="Times New Roman" w:hAnsi="Times New Roman"/>
          <w:sz w:val="24"/>
        </w:rPr>
        <w:t>с Федеральным законом «О контроле за деятельностью лиц, находящихся под иностранным влиянием.»;</w:t>
      </w:r>
    </w:p>
    <w:p w14:paraId="2B000000">
      <w:pPr>
        <w:ind w:firstLine="709" w:left="0"/>
        <w:jc w:val="both"/>
        <w:rPr>
          <w:rFonts w:ascii="Times New Roman" w:hAnsi="Times New Roman"/>
          <w:sz w:val="24"/>
        </w:rPr>
      </w:pPr>
      <w:r>
        <w:rPr>
          <w:rFonts w:ascii="Times New Roman" w:hAnsi="Times New Roman"/>
          <w:sz w:val="24"/>
        </w:rPr>
        <w:t>г) пункт 6 изложить в следующей редакции:</w:t>
      </w:r>
    </w:p>
    <w:p w14:paraId="2C000000">
      <w:pPr>
        <w:ind w:firstLine="709" w:left="0"/>
        <w:jc w:val="both"/>
        <w:rPr>
          <w:rFonts w:ascii="Times New Roman" w:hAnsi="Times New Roman"/>
          <w:sz w:val="24"/>
        </w:rPr>
      </w:pPr>
      <w:r>
        <w:rPr>
          <w:rFonts w:ascii="Times New Roman" w:hAnsi="Times New Roman"/>
          <w:sz w:val="24"/>
        </w:rPr>
        <w:t>«6. Сводный реестр получателей субсидий на развитие ЛПХ составляет УВГТ Администрации ЗАТО Северск. На основании сводного реестра получателей субсидий</w:t>
      </w:r>
      <w:r>
        <w:rPr>
          <w:rFonts w:ascii="Times New Roman" w:hAnsi="Times New Roman"/>
          <w:sz w:val="24"/>
        </w:rPr>
        <w:br/>
      </w:r>
      <w:r>
        <w:rPr>
          <w:rFonts w:ascii="Times New Roman" w:hAnsi="Times New Roman"/>
          <w:sz w:val="24"/>
        </w:rPr>
        <w:t>на развитие ЛПХ УВГТ Администрации ЗАТО Северск перечисляет субсидии на расчетные или корреспондентские счета, открытые получателями субсидий в учреждениях Центрального банка Российской Федерации или кредитных организациях, в порядке поступления (регистрации) заявлений о предоставлении субсидии.</w:t>
      </w:r>
    </w:p>
    <w:p w14:paraId="2D000000">
      <w:pPr>
        <w:ind w:firstLine="709" w:left="0"/>
        <w:jc w:val="both"/>
        <w:rPr>
          <w:rFonts w:ascii="Times New Roman" w:hAnsi="Times New Roman"/>
          <w:sz w:val="24"/>
        </w:rPr>
      </w:pPr>
      <w:r>
        <w:rPr>
          <w:rFonts w:ascii="Times New Roman" w:hAnsi="Times New Roman"/>
          <w:sz w:val="24"/>
        </w:rPr>
        <w:t>Перечисление субсидии осуществляется не позднее 10-го рабочего дня, следующего</w:t>
      </w:r>
      <w:r>
        <w:rPr>
          <w:rFonts w:ascii="Times New Roman" w:hAnsi="Times New Roman"/>
          <w:sz w:val="24"/>
        </w:rPr>
        <w:br/>
      </w:r>
      <w:r>
        <w:rPr>
          <w:rFonts w:ascii="Times New Roman" w:hAnsi="Times New Roman"/>
          <w:sz w:val="24"/>
        </w:rPr>
        <w:t>за днем принятия УВГТ Администрации ЗАТО Северск решения о предоставлении субсидии, по результатам рассмотрения и проверки документов, в сроки установленные</w:t>
      </w:r>
      <w:r>
        <w:rPr>
          <w:rFonts w:ascii="Times New Roman" w:hAnsi="Times New Roman"/>
          <w:sz w:val="24"/>
        </w:rPr>
        <w:br/>
      </w:r>
      <w:r>
        <w:rPr>
          <w:rFonts w:ascii="Times New Roman" w:hAnsi="Times New Roman"/>
          <w:sz w:val="24"/>
        </w:rPr>
        <w:t>пунктом 5 настоящего Порядка.»;</w:t>
      </w:r>
    </w:p>
    <w:p w14:paraId="2E000000">
      <w:pPr>
        <w:ind w:firstLine="709" w:left="0"/>
        <w:jc w:val="both"/>
        <w:rPr>
          <w:rFonts w:ascii="Times New Roman" w:hAnsi="Times New Roman"/>
          <w:sz w:val="24"/>
        </w:rPr>
      </w:pPr>
      <w:r>
        <w:rPr>
          <w:rFonts w:ascii="Times New Roman" w:hAnsi="Times New Roman"/>
          <w:sz w:val="24"/>
        </w:rPr>
        <w:t>д) пункт 8 изложить в следующей редакции:</w:t>
      </w:r>
    </w:p>
    <w:p w14:paraId="2F000000">
      <w:pPr>
        <w:ind w:firstLine="709" w:left="0"/>
        <w:jc w:val="both"/>
        <w:rPr>
          <w:rFonts w:ascii="Times New Roman" w:hAnsi="Times New Roman"/>
          <w:sz w:val="24"/>
        </w:rPr>
      </w:pPr>
      <w:r>
        <w:rPr>
          <w:rFonts w:ascii="Times New Roman" w:hAnsi="Times New Roman"/>
          <w:sz w:val="24"/>
        </w:rPr>
        <w:t>«8. Субсидии на развитие КФХ и ИП предоставляются КФХ и ИП, отвечающим критериям малого предприятия, микропредприятия, установленным Федеральным законом</w:t>
      </w:r>
      <w:r>
        <w:rPr>
          <w:rFonts w:ascii="Times New Roman" w:hAnsi="Times New Roman"/>
          <w:sz w:val="24"/>
        </w:rPr>
        <w:br/>
      </w:r>
      <w:r>
        <w:rPr>
          <w:rFonts w:ascii="Times New Roman" w:hAnsi="Times New Roman"/>
          <w:sz w:val="24"/>
        </w:rPr>
        <w:t>от 24 июля 2007 года № 209-ФЗ «О развитии малого и среднего предпринимательства</w:t>
      </w:r>
      <w:r>
        <w:rPr>
          <w:rFonts w:ascii="Times New Roman" w:hAnsi="Times New Roman"/>
          <w:sz w:val="24"/>
        </w:rPr>
        <w:br/>
      </w:r>
      <w:r>
        <w:rPr>
          <w:rFonts w:ascii="Times New Roman" w:hAnsi="Times New Roman"/>
          <w:sz w:val="24"/>
        </w:rPr>
        <w:t>в Российской Федерации», на:</w:t>
      </w:r>
    </w:p>
    <w:p w14:paraId="30000000">
      <w:pPr>
        <w:ind w:firstLine="709" w:left="0"/>
        <w:jc w:val="both"/>
        <w:rPr>
          <w:rFonts w:ascii="Times New Roman" w:hAnsi="Times New Roman"/>
          <w:sz w:val="24"/>
        </w:rPr>
      </w:pPr>
      <w:r>
        <w:rPr>
          <w:rFonts w:ascii="Times New Roman" w:hAnsi="Times New Roman"/>
          <w:sz w:val="24"/>
        </w:rPr>
        <w:t>1) содержание коров при их наличии не менее 5 голов у получателя субсидии</w:t>
      </w:r>
      <w:r>
        <w:rPr>
          <w:rFonts w:ascii="Times New Roman" w:hAnsi="Times New Roman"/>
          <w:sz w:val="24"/>
        </w:rPr>
        <w:br/>
      </w:r>
      <w:r>
        <w:rPr>
          <w:rFonts w:ascii="Times New Roman" w:hAnsi="Times New Roman"/>
          <w:sz w:val="24"/>
        </w:rPr>
        <w:t xml:space="preserve">на 1 января текущего года. В расчет размера субсидии берется фактическое поголовье коров на первое число месяца, в котором подается заявление о предоставлении субсидии. Условием предоставления субсидии является прохождение крупным рогатым скотом процедуры идентификации животных методом </w:t>
      </w:r>
      <w:r>
        <w:rPr>
          <w:rFonts w:ascii="Times New Roman" w:hAnsi="Times New Roman"/>
          <w:sz w:val="24"/>
        </w:rPr>
        <w:t>чипирования</w:t>
      </w:r>
      <w:r>
        <w:rPr>
          <w:rFonts w:ascii="Times New Roman" w:hAnsi="Times New Roman"/>
          <w:sz w:val="24"/>
        </w:rPr>
        <w:t xml:space="preserve"> и (или) </w:t>
      </w:r>
      <w:r>
        <w:rPr>
          <w:rFonts w:ascii="Times New Roman" w:hAnsi="Times New Roman"/>
          <w:sz w:val="24"/>
        </w:rPr>
        <w:t>биркования</w:t>
      </w:r>
      <w:r>
        <w:rPr>
          <w:rFonts w:ascii="Times New Roman" w:hAnsi="Times New Roman"/>
          <w:sz w:val="24"/>
        </w:rPr>
        <w:t>. Ставка</w:t>
      </w:r>
      <w:r>
        <w:rPr>
          <w:rFonts w:ascii="Times New Roman" w:hAnsi="Times New Roman"/>
          <w:sz w:val="24"/>
        </w:rPr>
        <w:br/>
      </w:r>
      <w:r>
        <w:rPr>
          <w:rFonts w:ascii="Times New Roman" w:hAnsi="Times New Roman"/>
          <w:sz w:val="24"/>
        </w:rPr>
        <w:t>субсидии на содержание коров в КФХ и ИП составляет не более 3000,00 руб. на одну голову коров. Субсидия предоставляется на возмещение 100 процентов фактически понесенных затрат получателя субсидии и по затратам (без учета налога на добавленную стоимость), произведенным получателем субсидии с 1 ноября предшествующего года по 31 октября текущего года. Документы получатели субсидии представляют не позднее 5 декабря текущего года;</w:t>
      </w:r>
    </w:p>
    <w:p w14:paraId="31000000">
      <w:pPr>
        <w:ind w:firstLine="709" w:left="0"/>
        <w:jc w:val="both"/>
        <w:rPr>
          <w:rFonts w:ascii="Times New Roman" w:hAnsi="Times New Roman"/>
          <w:sz w:val="24"/>
        </w:rPr>
      </w:pPr>
      <w:r>
        <w:rPr>
          <w:rFonts w:ascii="Times New Roman" w:hAnsi="Times New Roman"/>
          <w:sz w:val="24"/>
        </w:rPr>
        <w:t>2) возмещение затрат (без учета налога на добавленную стоимость) на обеспечение технической и технологической модернизации по видам затрат согласно приложению</w:t>
      </w:r>
      <w:r>
        <w:rPr>
          <w:rFonts w:ascii="Times New Roman" w:hAnsi="Times New Roman"/>
          <w:sz w:val="24"/>
        </w:rPr>
        <w:br/>
      </w:r>
      <w:r>
        <w:rPr>
          <w:rFonts w:ascii="Times New Roman" w:hAnsi="Times New Roman"/>
          <w:sz w:val="24"/>
        </w:rPr>
        <w:t>1 к настоящему Порядку в размере, не превышающем 650000,00 руб. в год на одного получателя субсидии. Условием предоставления субсидии является наличие не менее 10 условных голов сельскохозяйственных животных по состоянию на 1 января года, в котором подается заявление о предоставлении субсидии и на первое число месяца, в котором подается заявление о предоставлении субсидии. Возмещение затрат на обеспечение</w:t>
      </w:r>
      <w:r>
        <w:rPr>
          <w:rFonts w:ascii="Times New Roman" w:hAnsi="Times New Roman"/>
          <w:sz w:val="24"/>
        </w:rPr>
        <w:br/>
      </w:r>
      <w:r>
        <w:rPr>
          <w:rFonts w:ascii="Times New Roman" w:hAnsi="Times New Roman"/>
          <w:sz w:val="24"/>
        </w:rPr>
        <w:t>технической и технологической модернизации по видам деятельности, не осуществляемым получателем субсидии, не допускается. Субсидия предоставляется по затратам (без учета налога на добавленную стоимость), произведенным получателем субсидии с 1 ноября предшествующего года по 31 октября текущего года. Документы получатели субсидии представляют с 1 августа текущего года, но не позднее 5 декабря текущего года.</w:t>
      </w:r>
    </w:p>
    <w:p w14:paraId="32000000">
      <w:pPr>
        <w:ind w:firstLine="709" w:left="0"/>
        <w:jc w:val="both"/>
        <w:rPr>
          <w:rFonts w:ascii="Times New Roman" w:hAnsi="Times New Roman"/>
          <w:sz w:val="24"/>
        </w:rPr>
      </w:pPr>
      <w:r>
        <w:rPr>
          <w:rFonts w:ascii="Times New Roman" w:hAnsi="Times New Roman"/>
          <w:sz w:val="24"/>
        </w:rPr>
        <w:t>Субсидия на возмещение затрат предоставляется по договорам на приобретение новой техники и (или) оборудования, расчет по которым осуществлен в безналичном порядке. Под новой техникой и (или) оборудованием понимаются техника и (или) оборудование, которые                         не находились в эксплуатации до заключения договора об их приобретении, передачи покупателю, а также изготовленные не ранее чем за два года до 1 января года, в котором подано заявление о предоставлении субсидии. Приобретение техники у физических лиц</w:t>
      </w:r>
      <w:r>
        <w:rPr>
          <w:rFonts w:ascii="Times New Roman" w:hAnsi="Times New Roman"/>
          <w:sz w:val="24"/>
        </w:rPr>
        <w:br/>
      </w:r>
      <w:r>
        <w:rPr>
          <w:rFonts w:ascii="Times New Roman" w:hAnsi="Times New Roman"/>
          <w:sz w:val="24"/>
        </w:rPr>
        <w:t>не допускается.</w:t>
      </w:r>
    </w:p>
    <w:p w14:paraId="33000000">
      <w:pPr>
        <w:ind w:firstLine="709" w:left="0"/>
        <w:jc w:val="both"/>
        <w:rPr>
          <w:rFonts w:ascii="Times New Roman" w:hAnsi="Times New Roman"/>
          <w:sz w:val="24"/>
        </w:rPr>
      </w:pPr>
      <w:r>
        <w:rPr>
          <w:rFonts w:ascii="Times New Roman" w:hAnsi="Times New Roman"/>
          <w:sz w:val="24"/>
        </w:rPr>
        <w:t>Для получения субсидии на развитие КФХ и ИП получатели субсидий представляют</w:t>
      </w:r>
      <w:r>
        <w:rPr>
          <w:rFonts w:ascii="Times New Roman" w:hAnsi="Times New Roman"/>
          <w:sz w:val="24"/>
        </w:rPr>
        <w:br/>
      </w:r>
      <w:r>
        <w:rPr>
          <w:rFonts w:ascii="Times New Roman" w:hAnsi="Times New Roman"/>
          <w:sz w:val="24"/>
        </w:rPr>
        <w:t>в УВГТ Администрации ЗАТО Северск заявление о предоставлении субсидии и справку-расчет с приложением следующих документов:</w:t>
      </w:r>
    </w:p>
    <w:p w14:paraId="34000000">
      <w:pPr>
        <w:ind w:firstLine="709" w:left="0"/>
        <w:jc w:val="both"/>
        <w:rPr>
          <w:rFonts w:ascii="Times New Roman" w:hAnsi="Times New Roman"/>
          <w:sz w:val="24"/>
        </w:rPr>
      </w:pPr>
      <w:r>
        <w:rPr>
          <w:rFonts w:ascii="Times New Roman" w:hAnsi="Times New Roman"/>
          <w:sz w:val="24"/>
        </w:rPr>
        <w:t>а) на содержание коров:</w:t>
      </w:r>
    </w:p>
    <w:p w14:paraId="35000000">
      <w:pPr>
        <w:ind w:firstLine="709" w:left="0"/>
        <w:jc w:val="both"/>
        <w:rPr>
          <w:rFonts w:ascii="Times New Roman" w:hAnsi="Times New Roman"/>
          <w:sz w:val="24"/>
        </w:rPr>
      </w:pPr>
      <w:r>
        <w:rPr>
          <w:rFonts w:ascii="Times New Roman" w:hAnsi="Times New Roman"/>
          <w:sz w:val="24"/>
        </w:rPr>
        <w:t>заверенные получателем субсидии копии документов, подтверждающих фактически произведенные затраты;</w:t>
      </w:r>
    </w:p>
    <w:p w14:paraId="36000000">
      <w:pPr>
        <w:ind w:firstLine="709" w:left="0"/>
        <w:jc w:val="both"/>
        <w:rPr>
          <w:rFonts w:ascii="Times New Roman" w:hAnsi="Times New Roman"/>
          <w:sz w:val="24"/>
        </w:rPr>
      </w:pPr>
      <w:r>
        <w:rPr>
          <w:rFonts w:ascii="Times New Roman" w:hAnsi="Times New Roman"/>
          <w:sz w:val="24"/>
        </w:rPr>
        <w:t xml:space="preserve">реестр крупного рогатого скота, прошедшего процедуру идентификации животных методом </w:t>
      </w:r>
      <w:r>
        <w:rPr>
          <w:rFonts w:ascii="Times New Roman" w:hAnsi="Times New Roman"/>
          <w:sz w:val="24"/>
        </w:rPr>
        <w:t>чипирования</w:t>
      </w:r>
      <w:r>
        <w:rPr>
          <w:rFonts w:ascii="Times New Roman" w:hAnsi="Times New Roman"/>
          <w:sz w:val="24"/>
        </w:rPr>
        <w:t xml:space="preserve"> или </w:t>
      </w:r>
      <w:r>
        <w:rPr>
          <w:rFonts w:ascii="Times New Roman" w:hAnsi="Times New Roman"/>
          <w:sz w:val="24"/>
        </w:rPr>
        <w:t>биркования</w:t>
      </w:r>
      <w:r>
        <w:rPr>
          <w:rFonts w:ascii="Times New Roman" w:hAnsi="Times New Roman"/>
          <w:sz w:val="24"/>
        </w:rPr>
        <w:t>;</w:t>
      </w:r>
    </w:p>
    <w:p w14:paraId="37000000">
      <w:pPr>
        <w:ind w:firstLine="709" w:left="0"/>
        <w:jc w:val="both"/>
        <w:rPr>
          <w:rFonts w:ascii="Times New Roman" w:hAnsi="Times New Roman"/>
          <w:sz w:val="24"/>
        </w:rPr>
      </w:pPr>
      <w:r>
        <w:rPr>
          <w:rFonts w:ascii="Times New Roman" w:hAnsi="Times New Roman"/>
          <w:sz w:val="24"/>
        </w:rPr>
        <w:t>б) по субсидиям на возмещение затрат (без учета налога на добавленную стоимость)</w:t>
      </w:r>
      <w:r>
        <w:rPr>
          <w:rFonts w:ascii="Times New Roman" w:hAnsi="Times New Roman"/>
          <w:sz w:val="24"/>
        </w:rPr>
        <w:br/>
      </w:r>
      <w:r>
        <w:rPr>
          <w:rFonts w:ascii="Times New Roman" w:hAnsi="Times New Roman"/>
          <w:sz w:val="24"/>
        </w:rPr>
        <w:t>на обеспечение технической и технологической модернизации:</w:t>
      </w:r>
    </w:p>
    <w:p w14:paraId="38000000">
      <w:pPr>
        <w:ind w:firstLine="709" w:left="0"/>
        <w:jc w:val="both"/>
        <w:rPr>
          <w:rFonts w:ascii="Times New Roman" w:hAnsi="Times New Roman"/>
          <w:sz w:val="24"/>
        </w:rPr>
      </w:pPr>
      <w:r>
        <w:rPr>
          <w:rFonts w:ascii="Times New Roman" w:hAnsi="Times New Roman"/>
          <w:sz w:val="24"/>
        </w:rPr>
        <w:t>заверенные получателем субсидии копии документов, подтверждающих приобретение новой техники и (или) оборудования, выполнение работ (оказание услуг), (договоров, актов приема-передачи или актов выполненных работ (оказание услуг), товарных накладных, платежных документов, подтверждающих осуществление платежей</w:t>
      </w:r>
      <w:r>
        <w:rPr>
          <w:rFonts w:ascii="Times New Roman" w:hAnsi="Times New Roman"/>
          <w:sz w:val="24"/>
        </w:rPr>
        <w:br/>
      </w:r>
      <w:r>
        <w:rPr>
          <w:rFonts w:ascii="Times New Roman" w:hAnsi="Times New Roman"/>
          <w:sz w:val="24"/>
        </w:rPr>
        <w:t>получателем субсидии в безналичном порядке;</w:t>
      </w:r>
    </w:p>
    <w:p w14:paraId="39000000">
      <w:pPr>
        <w:ind w:firstLine="709" w:left="0"/>
        <w:jc w:val="both"/>
        <w:rPr>
          <w:rFonts w:ascii="Times New Roman" w:hAnsi="Times New Roman"/>
          <w:sz w:val="24"/>
        </w:rPr>
      </w:pPr>
      <w:r>
        <w:rPr>
          <w:rFonts w:ascii="Times New Roman" w:hAnsi="Times New Roman"/>
          <w:sz w:val="24"/>
        </w:rPr>
        <w:t>заверенные получателем субсидии копии паспортов транспортных средств, самоходных машин и других видов техники с отметкой о регистрации либо выписки</w:t>
      </w:r>
      <w:r>
        <w:rPr>
          <w:rFonts w:ascii="Times New Roman" w:hAnsi="Times New Roman"/>
          <w:sz w:val="24"/>
        </w:rPr>
        <w:br/>
      </w:r>
      <w:r>
        <w:rPr>
          <w:rFonts w:ascii="Times New Roman" w:hAnsi="Times New Roman"/>
          <w:sz w:val="24"/>
        </w:rPr>
        <w:t>из электронных паспортов транспортных средств, самоходных машин, других видов техники (в случае приобретения техники, оборудования, подлежащих государственной регистрации);</w:t>
      </w:r>
    </w:p>
    <w:p w14:paraId="3A000000">
      <w:pPr>
        <w:ind w:firstLine="709" w:left="0"/>
        <w:jc w:val="both"/>
        <w:rPr>
          <w:rFonts w:ascii="Times New Roman" w:hAnsi="Times New Roman"/>
          <w:sz w:val="24"/>
        </w:rPr>
      </w:pPr>
      <w:r>
        <w:rPr>
          <w:rFonts w:ascii="Times New Roman" w:hAnsi="Times New Roman"/>
          <w:sz w:val="24"/>
        </w:rPr>
        <w:t>заверенные получателем субсидии копии отчетов по форме № 2-фермер «Сведения</w:t>
      </w:r>
      <w:r>
        <w:rPr>
          <w:rFonts w:ascii="Times New Roman" w:hAnsi="Times New Roman"/>
          <w:sz w:val="24"/>
        </w:rPr>
        <w:br/>
      </w:r>
      <w:r>
        <w:rPr>
          <w:rFonts w:ascii="Times New Roman" w:hAnsi="Times New Roman"/>
          <w:sz w:val="24"/>
        </w:rPr>
        <w:t xml:space="preserve">о сборе урожая сельскохозяйственных культур» и (или) отчетов по форме № 3-фермер </w:t>
      </w:r>
      <w:r>
        <w:rPr>
          <w:rFonts w:ascii="Times New Roman" w:hAnsi="Times New Roman"/>
          <w:sz w:val="24"/>
        </w:rPr>
        <w:t>«Сведения о производстве продукции животноводства и поголовья скота и (или) по форме</w:t>
      </w:r>
      <w:r>
        <w:rPr>
          <w:rFonts w:ascii="Times New Roman" w:hAnsi="Times New Roman"/>
          <w:sz w:val="24"/>
        </w:rPr>
        <w:br/>
      </w:r>
      <w:r>
        <w:rPr>
          <w:rFonts w:ascii="Times New Roman" w:hAnsi="Times New Roman"/>
          <w:sz w:val="24"/>
        </w:rPr>
        <w:t>№ СП-51 «Отчет о движении скота и птицы на ферме».</w:t>
      </w:r>
    </w:p>
    <w:p w14:paraId="3B000000">
      <w:pPr>
        <w:ind w:firstLine="709" w:left="0"/>
        <w:jc w:val="both"/>
        <w:rPr>
          <w:rFonts w:ascii="Times New Roman" w:hAnsi="Times New Roman"/>
          <w:sz w:val="24"/>
        </w:rPr>
      </w:pPr>
      <w:r>
        <w:rPr>
          <w:rFonts w:ascii="Times New Roman" w:hAnsi="Times New Roman"/>
          <w:sz w:val="24"/>
        </w:rPr>
        <w:t>Получатели субсидии КФХ и ИП представляют на первое число месяца, в котором планируют подать заявление на предоставление субсидии, справку об исполнении заявителем как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выданную налоговой службой (оригинал либо в форме электронного документа).</w:t>
      </w:r>
    </w:p>
    <w:p w14:paraId="3C000000">
      <w:pPr>
        <w:ind w:firstLine="709" w:left="0"/>
        <w:jc w:val="both"/>
        <w:rPr>
          <w:rFonts w:ascii="Times New Roman" w:hAnsi="Times New Roman"/>
          <w:sz w:val="24"/>
        </w:rPr>
      </w:pPr>
      <w:r>
        <w:rPr>
          <w:rFonts w:ascii="Times New Roman" w:hAnsi="Times New Roman"/>
          <w:sz w:val="24"/>
        </w:rPr>
        <w:t>Условием предоставления субсидий является отсутствие у их получателей просроченной (неурегулированной) задолженности по денежным обязательствам перед городским округом закрытым административно-территориальным образованием Северск Томской области, из бюджета которого планируется предоставление субсидий</w:t>
      </w:r>
      <w:r>
        <w:rPr>
          <w:rFonts w:ascii="Times New Roman" w:hAnsi="Times New Roman"/>
          <w:sz w:val="24"/>
        </w:rPr>
        <w:br/>
      </w:r>
      <w:r>
        <w:rPr>
          <w:rFonts w:ascii="Times New Roman" w:hAnsi="Times New Roman"/>
          <w:sz w:val="24"/>
        </w:rPr>
        <w:t>(за исключением случаев, установленных Администрацией ЗАТО Северск).</w:t>
      </w:r>
    </w:p>
    <w:p w14:paraId="3D000000">
      <w:pPr>
        <w:ind w:firstLine="709" w:left="0"/>
        <w:jc w:val="both"/>
        <w:rPr>
          <w:rFonts w:ascii="Times New Roman" w:hAnsi="Times New Roman"/>
          <w:sz w:val="24"/>
        </w:rPr>
      </w:pPr>
      <w:r>
        <w:rPr>
          <w:rFonts w:ascii="Times New Roman" w:hAnsi="Times New Roman"/>
          <w:sz w:val="24"/>
        </w:rPr>
        <w:t>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w:t>
      </w:r>
      <w:r>
        <w:br/>
      </w:r>
      <w:r>
        <w:rPr>
          <w:rFonts w:ascii="Times New Roman" w:hAnsi="Times New Roman"/>
          <w:sz w:val="24"/>
        </w:rPr>
        <w:t>в соответствии со статьей 18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 обязательстве с указанием стороны</w:t>
      </w:r>
      <w:r>
        <w:br/>
      </w:r>
      <w:r>
        <w:rPr>
          <w:rFonts w:ascii="Times New Roman" w:hAnsi="Times New Roman"/>
          <w:sz w:val="24"/>
        </w:rPr>
        <w:t>в соглашении иного лица, являющегося правопреемником.</w:t>
      </w:r>
    </w:p>
    <w:p w14:paraId="3E000000">
      <w:pPr>
        <w:ind w:firstLine="709" w:left="0"/>
        <w:jc w:val="both"/>
        <w:rPr>
          <w:rFonts w:ascii="Times New Roman" w:hAnsi="Times New Roman"/>
          <w:sz w:val="24"/>
        </w:rPr>
      </w:pPr>
      <w:r>
        <w:rPr>
          <w:rFonts w:ascii="Times New Roman" w:hAnsi="Times New Roman"/>
          <w:sz w:val="24"/>
        </w:rPr>
        <w:t>Срок рассмотрения представленных документов – три рабочих дня со дня регистрации.</w:t>
      </w:r>
    </w:p>
    <w:p w14:paraId="3F000000">
      <w:pPr>
        <w:ind w:firstLine="709" w:left="0"/>
        <w:jc w:val="both"/>
        <w:rPr>
          <w:rFonts w:ascii="Times New Roman" w:hAnsi="Times New Roman"/>
          <w:sz w:val="24"/>
        </w:rPr>
      </w:pPr>
      <w:r>
        <w:rPr>
          <w:rFonts w:ascii="Times New Roman" w:hAnsi="Times New Roman"/>
          <w:sz w:val="24"/>
        </w:rPr>
        <w:t>Основания для отказа в предоставлении субсидии:</w:t>
      </w:r>
    </w:p>
    <w:p w14:paraId="40000000">
      <w:pPr>
        <w:ind w:firstLine="709" w:left="0"/>
        <w:jc w:val="both"/>
        <w:rPr>
          <w:rFonts w:ascii="Times New Roman" w:hAnsi="Times New Roman"/>
          <w:sz w:val="24"/>
        </w:rPr>
      </w:pPr>
      <w:r>
        <w:rPr>
          <w:rFonts w:ascii="Times New Roman" w:hAnsi="Times New Roman"/>
          <w:sz w:val="24"/>
        </w:rPr>
        <w:t>несоблюдение условий предоставления субсидии;</w:t>
      </w:r>
    </w:p>
    <w:p w14:paraId="41000000">
      <w:pPr>
        <w:ind w:firstLine="709" w:left="0"/>
        <w:jc w:val="both"/>
        <w:rPr>
          <w:rFonts w:ascii="Times New Roman" w:hAnsi="Times New Roman"/>
          <w:sz w:val="24"/>
        </w:rPr>
      </w:pPr>
      <w:r>
        <w:rPr>
          <w:rFonts w:ascii="Times New Roman" w:hAnsi="Times New Roman"/>
          <w:sz w:val="24"/>
        </w:rPr>
        <w:t>несоответствие представленных получателем субсидии документов требованиям, указанным в настоящем Порядке, или представление их не в полном объеме;</w:t>
      </w:r>
    </w:p>
    <w:p w14:paraId="42000000">
      <w:pPr>
        <w:ind w:firstLine="709" w:left="0"/>
        <w:jc w:val="both"/>
        <w:rPr>
          <w:rFonts w:ascii="Times New Roman" w:hAnsi="Times New Roman"/>
          <w:sz w:val="24"/>
        </w:rPr>
      </w:pPr>
      <w:r>
        <w:rPr>
          <w:rFonts w:ascii="Times New Roman" w:hAnsi="Times New Roman"/>
          <w:sz w:val="24"/>
        </w:rPr>
        <w:t>недостоверность предоставленной получателем субсидии информации;</w:t>
      </w:r>
    </w:p>
    <w:p w14:paraId="43000000">
      <w:pPr>
        <w:ind w:firstLine="709" w:left="0"/>
        <w:jc w:val="both"/>
        <w:rPr>
          <w:rFonts w:ascii="Times New Roman" w:hAnsi="Times New Roman"/>
          <w:sz w:val="24"/>
        </w:rPr>
      </w:pPr>
      <w:r>
        <w:rPr>
          <w:rFonts w:ascii="Times New Roman" w:hAnsi="Times New Roman"/>
          <w:sz w:val="24"/>
        </w:rPr>
        <w:t>подача документов в УВГТ Администрации ЗАТО Северск после окончания сроков, указанных в пункте 8 настоящего Порядка.»;</w:t>
      </w:r>
    </w:p>
    <w:p w14:paraId="44000000">
      <w:pPr>
        <w:ind w:firstLine="709" w:left="0"/>
        <w:jc w:val="both"/>
        <w:rPr>
          <w:rFonts w:ascii="Times New Roman" w:hAnsi="Times New Roman"/>
          <w:sz w:val="24"/>
        </w:rPr>
      </w:pPr>
      <w:r>
        <w:rPr>
          <w:rFonts w:ascii="Times New Roman" w:hAnsi="Times New Roman"/>
          <w:sz w:val="24"/>
        </w:rPr>
        <w:t>е) пункт 9 изложить в следующей редакции:</w:t>
      </w:r>
    </w:p>
    <w:p w14:paraId="45000000">
      <w:pPr>
        <w:ind w:firstLine="709" w:left="0"/>
        <w:jc w:val="both"/>
        <w:rPr>
          <w:rFonts w:ascii="Times New Roman" w:hAnsi="Times New Roman"/>
          <w:sz w:val="24"/>
        </w:rPr>
      </w:pPr>
      <w:r>
        <w:rPr>
          <w:rFonts w:ascii="Times New Roman" w:hAnsi="Times New Roman"/>
          <w:sz w:val="24"/>
        </w:rPr>
        <w:t>«9. Сводный реестр получателей субсидий на развитие КФХ и ИП составляет УВГТ Администрации ЗАТО Северск. На основании сводного реестра получателей субсидий</w:t>
      </w:r>
      <w:r>
        <w:rPr>
          <w:rFonts w:ascii="Times New Roman" w:hAnsi="Times New Roman"/>
          <w:sz w:val="24"/>
        </w:rPr>
        <w:br/>
      </w:r>
      <w:r>
        <w:rPr>
          <w:rFonts w:ascii="Times New Roman" w:hAnsi="Times New Roman"/>
          <w:sz w:val="24"/>
        </w:rPr>
        <w:t>на развитие КФХ и ИП УВГТ Администрации ЗАТО Северск перечисляет субсидии</w:t>
      </w:r>
      <w:r>
        <w:rPr>
          <w:rFonts w:ascii="Times New Roman" w:hAnsi="Times New Roman"/>
          <w:sz w:val="24"/>
        </w:rPr>
        <w:br/>
      </w:r>
      <w:r>
        <w:rPr>
          <w:rFonts w:ascii="Times New Roman" w:hAnsi="Times New Roman"/>
          <w:sz w:val="24"/>
        </w:rPr>
        <w:t>на расчетные или корреспондентские счета, открытые получателями субсидий</w:t>
      </w:r>
      <w:r>
        <w:br/>
      </w:r>
      <w:r>
        <w:rPr>
          <w:rFonts w:ascii="Times New Roman" w:hAnsi="Times New Roman"/>
          <w:sz w:val="24"/>
        </w:rPr>
        <w:t>в учреждениях Центрального банка Российской Федерации или кредитных организациях,</w:t>
      </w:r>
      <w:r>
        <w:br/>
      </w:r>
      <w:r>
        <w:rPr>
          <w:rFonts w:ascii="Times New Roman" w:hAnsi="Times New Roman"/>
          <w:sz w:val="24"/>
        </w:rPr>
        <w:t>в порядке поступления (регистрации) заявлений о предоставлении субсидии.</w:t>
      </w:r>
    </w:p>
    <w:p w14:paraId="46000000">
      <w:pPr>
        <w:ind w:firstLine="709" w:left="0"/>
        <w:jc w:val="both"/>
        <w:rPr>
          <w:rFonts w:ascii="Times New Roman" w:hAnsi="Times New Roman"/>
          <w:sz w:val="24"/>
        </w:rPr>
      </w:pPr>
      <w:r>
        <w:rPr>
          <w:rFonts w:ascii="Times New Roman" w:hAnsi="Times New Roman"/>
          <w:sz w:val="24"/>
        </w:rPr>
        <w:t>Перечисление субсидии осуществляется не позднее 10-го рабочего дня, следующего</w:t>
      </w:r>
      <w:r>
        <w:rPr>
          <w:rFonts w:ascii="Times New Roman" w:hAnsi="Times New Roman"/>
          <w:sz w:val="24"/>
        </w:rPr>
        <w:br/>
      </w:r>
      <w:r>
        <w:rPr>
          <w:rFonts w:ascii="Times New Roman" w:hAnsi="Times New Roman"/>
          <w:sz w:val="24"/>
        </w:rPr>
        <w:t>за днем принятия УВГТ Администрации ЗАТО Северск решения о предоставлении субсидии, по результатам рассмотрения и проверки документов в сроки, установленные</w:t>
      </w:r>
      <w:r>
        <w:rPr>
          <w:rFonts w:ascii="Times New Roman" w:hAnsi="Times New Roman"/>
          <w:sz w:val="24"/>
        </w:rPr>
        <w:br/>
      </w:r>
      <w:r>
        <w:rPr>
          <w:rFonts w:ascii="Times New Roman" w:hAnsi="Times New Roman"/>
          <w:sz w:val="24"/>
        </w:rPr>
        <w:t>пунктом 8 настоящего Порядка.».</w:t>
      </w:r>
    </w:p>
    <w:p w14:paraId="47000000">
      <w:pPr>
        <w:ind w:firstLine="709" w:left="0"/>
        <w:jc w:val="both"/>
        <w:rPr>
          <w:rFonts w:ascii="Times New Roman" w:hAnsi="Times New Roman"/>
          <w:sz w:val="24"/>
        </w:rPr>
      </w:pPr>
      <w:r>
        <w:rPr>
          <w:rFonts w:ascii="Times New Roman" w:hAnsi="Times New Roman"/>
          <w:sz w:val="24"/>
        </w:rPr>
        <w:t>2. Постановление вступает в силу со дня официального опубликования</w:t>
      </w:r>
      <w:r>
        <w:rPr>
          <w:rFonts w:ascii="Times New Roman" w:hAnsi="Times New Roman"/>
          <w:sz w:val="24"/>
        </w:rPr>
        <w:br/>
      </w:r>
      <w:r>
        <w:rPr>
          <w:rFonts w:ascii="Times New Roman" w:hAnsi="Times New Roman"/>
          <w:sz w:val="24"/>
        </w:rPr>
        <w:t>и распространяется на правоотношения, возникшие с 01.01.2024.</w:t>
      </w:r>
    </w:p>
    <w:p w14:paraId="48000000">
      <w:pPr>
        <w:ind w:firstLine="709" w:left="0"/>
        <w:jc w:val="both"/>
        <w:rPr>
          <w:rFonts w:ascii="Times New Roman" w:hAnsi="Times New Roman"/>
          <w:sz w:val="24"/>
        </w:rPr>
      </w:pPr>
      <w:r>
        <w:rPr>
          <w:rFonts w:ascii="Times New Roman" w:hAnsi="Times New Roman"/>
          <w:sz w:val="24"/>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14:paraId="49000000">
      <w:pPr>
        <w:rPr>
          <w:rFonts w:ascii="Times New Roman" w:hAnsi="Times New Roman"/>
          <w:sz w:val="24"/>
        </w:rPr>
      </w:pPr>
    </w:p>
    <w:p w14:paraId="4A000000">
      <w:pPr>
        <w:rPr>
          <w:rFonts w:ascii="Times New Roman" w:hAnsi="Times New Roman"/>
          <w:sz w:val="24"/>
        </w:rPr>
      </w:pPr>
    </w:p>
    <w:p w14:paraId="4B000000">
      <w:pPr>
        <w:rPr>
          <w:rFonts w:ascii="Times New Roman" w:hAnsi="Times New Roman"/>
          <w:sz w:val="24"/>
        </w:rPr>
      </w:pPr>
      <w:bookmarkStart w:id="2" w:name="СодержаниеКонец"/>
      <w:bookmarkEnd w:id="2"/>
    </w:p>
    <w:tbl>
      <w:tblPr>
        <w:tblStyle w:val="Style_5"/>
        <w:tblLayout w:type="fixed"/>
      </w:tblPr>
      <w:tblGrid>
        <w:gridCol w:w="4860"/>
        <w:gridCol w:w="4860"/>
      </w:tblGrid>
      <w:tr>
        <w:tc>
          <w:tcPr>
            <w:tcW w:type="dxa" w:w="4860"/>
            <w:shd w:fill="auto" w:val="clear"/>
          </w:tcPr>
          <w:p w14:paraId="4C000000">
            <w:pPr>
              <w:rPr>
                <w:sz w:val="24"/>
              </w:rPr>
            </w:pPr>
            <w:bookmarkStart w:id="3" w:name="ПодписалДолжность"/>
            <w:r>
              <w:rPr>
                <w:rFonts w:ascii="Times New Roman" w:hAnsi="Times New Roman"/>
                <w:sz w:val="24"/>
              </w:rPr>
              <w:t>Мэр ЗАТО Северск</w:t>
            </w:r>
            <w:bookmarkEnd w:id="3"/>
          </w:p>
        </w:tc>
        <w:tc>
          <w:tcPr>
            <w:tcW w:type="dxa" w:w="4860"/>
            <w:shd w:fill="auto" w:val="clear"/>
          </w:tcPr>
          <w:p w14:paraId="4D000000">
            <w:pPr>
              <w:tabs>
                <w:tab w:leader="none" w:pos="2303" w:val="left"/>
              </w:tabs>
              <w:ind/>
              <w:jc w:val="right"/>
              <w:rPr>
                <w:sz w:val="24"/>
              </w:rPr>
            </w:pPr>
            <w:bookmarkStart w:id="4" w:name="ПодписалФИО"/>
            <w:r>
              <w:rPr>
                <w:rFonts w:ascii="Times New Roman" w:hAnsi="Times New Roman"/>
                <w:sz w:val="24"/>
              </w:rPr>
              <w:t>Н.В.Диденко</w:t>
            </w:r>
            <w:bookmarkEnd w:id="4"/>
          </w:p>
        </w:tc>
      </w:tr>
    </w:tbl>
    <w:p w14:paraId="4E000000">
      <w:pPr>
        <w:rPr>
          <w:rFonts w:ascii="Times New Roman" w:hAnsi="Times New Roman"/>
        </w:rPr>
      </w:pPr>
    </w:p>
    <w:p w14:paraId="4F000000">
      <w:pPr>
        <w:rPr>
          <w:rFonts w:ascii="Times New Roman" w:hAnsi="Times New Roman"/>
        </w:rPr>
      </w:pPr>
    </w:p>
    <w:p w14:paraId="50000000">
      <w:pPr>
        <w:rPr>
          <w:rFonts w:ascii="Times New Roman" w:hAnsi="Times New Roman"/>
        </w:rPr>
      </w:pPr>
    </w:p>
    <w:p w14:paraId="51000000">
      <w:pPr>
        <w:rPr>
          <w:rFonts w:ascii="Times New Roman" w:hAnsi="Times New Roman"/>
        </w:rPr>
      </w:pPr>
    </w:p>
    <w:p w14:paraId="52000000">
      <w:pPr>
        <w:rPr>
          <w:rFonts w:ascii="Times New Roman" w:hAnsi="Times New Roman"/>
        </w:rPr>
      </w:pPr>
      <w:r>
        <w:rPr>
          <w:rFonts w:ascii="Times New Roman" w:hAnsi="Times New Roman"/>
        </w:rP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distB="0" distL="114300" distR="114300" distT="0" layoutInCell="true" locked="false" relativeHeight="251658240" simplePos="false">
                <wp:simplePos x="0" y="0"/>
                <wp:positionH relativeFrom="column">
                  <wp:posOffset>2933699</wp:posOffset>
                </wp:positionH>
                <wp:positionV relativeFrom="page">
                  <wp:posOffset>355594</wp:posOffset>
                </wp:positionV>
                <wp:extent cx="202019" cy="212651"/>
                <wp:wrapNone/>
                <wp:docPr hidden="false" id="5" name="Picture 5"/>
                <a:graphic>
                  <a:graphicData uri="http://schemas.microsoft.com/office/word/2010/wordprocessingShape">
                    <wps:wsp>
                      <wps:cNvSpPr txBox="false"/>
                      <wps:spPr>
                        <a:xfrm flipH="false" flipV="false" rot="0">
                          <a:off x="0" y="0"/>
                          <a:ext cx="202019" cy="212651"/>
                        </a:xfrm>
                        <a:prstGeom prst="rect">
                          <a:avLst/>
                        </a:prstGeom>
                        <a:solidFill>
                          <a:schemeClr val="bg1"/>
                        </a:solidFill>
                        <a:ln>
                          <a:noFill/>
                        </a:ln>
                      </wps:spPr>
                      <wps:bodyPr anchor="ctr" bIns="45720" lIns="91440" rIns="91440" tIns="45720" vert="horz" wrap="square">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14:paraId="53000000">
      <w:pPr>
        <w:rPr>
          <w:rFonts w:ascii="Times New Roman" w:hAnsi="Times New Roman"/>
        </w:rPr>
      </w:pPr>
    </w:p>
    <w:p w14:paraId="54000000">
      <w:pPr>
        <w:rPr>
          <w:rFonts w:ascii="Times New Roman" w:hAnsi="Times New Roman"/>
        </w:rPr>
      </w:pPr>
    </w:p>
    <w:p w14:paraId="55000000">
      <w:pPr>
        <w:rPr>
          <w:rFonts w:ascii="Times New Roman" w:hAnsi="Times New Roman"/>
        </w:rPr>
      </w:pPr>
    </w:p>
    <w:p w14:paraId="56000000">
      <w:pPr>
        <w:rPr>
          <w:rFonts w:ascii="Times New Roman" w:hAnsi="Times New Roman"/>
        </w:rPr>
      </w:pPr>
    </w:p>
    <w:p w14:paraId="57000000">
      <w:pPr>
        <w:rPr>
          <w:rFonts w:ascii="Times New Roman" w:hAnsi="Times New Roman"/>
        </w:rPr>
      </w:pPr>
    </w:p>
    <w:p w14:paraId="58000000">
      <w:pPr>
        <w:rPr>
          <w:rFonts w:ascii="Times New Roman" w:hAnsi="Times New Roman"/>
        </w:rPr>
      </w:pPr>
    </w:p>
    <w:p w14:paraId="59000000">
      <w:pPr>
        <w:rPr>
          <w:rFonts w:ascii="Times New Roman" w:hAnsi="Times New Roman"/>
        </w:rPr>
      </w:pPr>
    </w:p>
    <w:p w14:paraId="5A000000">
      <w:pPr>
        <w:rPr>
          <w:rFonts w:ascii="Times New Roman" w:hAnsi="Times New Roman"/>
        </w:rPr>
      </w:pPr>
    </w:p>
    <w:p w14:paraId="5B000000">
      <w:pPr>
        <w:rPr>
          <w:rFonts w:ascii="Times New Roman" w:hAnsi="Times New Roman"/>
        </w:rPr>
      </w:pPr>
    </w:p>
    <w:p w14:paraId="5C000000">
      <w:pPr>
        <w:rPr>
          <w:rFonts w:ascii="Times New Roman" w:hAnsi="Times New Roman"/>
        </w:rPr>
      </w:pPr>
    </w:p>
    <w:p w14:paraId="5D000000">
      <w:pPr>
        <w:rPr>
          <w:rFonts w:ascii="Times New Roman" w:hAnsi="Times New Roman"/>
        </w:rPr>
      </w:pPr>
    </w:p>
    <w:p w14:paraId="5E000000">
      <w:pPr>
        <w:rPr>
          <w:rFonts w:ascii="Times New Roman" w:hAnsi="Times New Roman"/>
        </w:rPr>
      </w:pPr>
    </w:p>
    <w:p w14:paraId="5F000000">
      <w:pPr>
        <w:rPr>
          <w:rFonts w:ascii="Times New Roman" w:hAnsi="Times New Roman"/>
        </w:rPr>
      </w:pPr>
    </w:p>
    <w:p w14:paraId="60000000">
      <w:pPr>
        <w:rPr>
          <w:rFonts w:ascii="Times New Roman" w:hAnsi="Times New Roman"/>
        </w:rPr>
      </w:pPr>
    </w:p>
    <w:p w14:paraId="61000000">
      <w:pPr>
        <w:rPr>
          <w:rFonts w:ascii="Times New Roman" w:hAnsi="Times New Roman"/>
        </w:rPr>
      </w:pPr>
    </w:p>
    <w:p w14:paraId="62000000">
      <w:pPr>
        <w:rPr>
          <w:rFonts w:ascii="Times New Roman" w:hAnsi="Times New Roman"/>
        </w:rPr>
      </w:pPr>
    </w:p>
    <w:p w14:paraId="63000000">
      <w:pPr>
        <w:rPr>
          <w:rFonts w:ascii="Times New Roman" w:hAnsi="Times New Roman"/>
        </w:rPr>
      </w:pPr>
    </w:p>
    <w:p w14:paraId="64000000">
      <w:pPr>
        <w:rPr>
          <w:rFonts w:ascii="Times New Roman" w:hAnsi="Times New Roman"/>
        </w:rPr>
      </w:pPr>
    </w:p>
    <w:p w14:paraId="65000000">
      <w:pPr>
        <w:rPr>
          <w:rFonts w:ascii="Times New Roman" w:hAnsi="Times New Roman"/>
        </w:rPr>
      </w:pPr>
    </w:p>
    <w:p w14:paraId="66000000">
      <w:pPr>
        <w:rPr>
          <w:rFonts w:ascii="Times New Roman" w:hAnsi="Times New Roman"/>
        </w:rPr>
      </w:pPr>
    </w:p>
    <w:p w14:paraId="67000000">
      <w:pPr>
        <w:rPr>
          <w:rFonts w:ascii="Times New Roman" w:hAnsi="Times New Roman"/>
        </w:rPr>
      </w:pPr>
    </w:p>
    <w:p w14:paraId="68000000">
      <w:pPr>
        <w:rPr>
          <w:rFonts w:ascii="Times New Roman" w:hAnsi="Times New Roman"/>
        </w:rPr>
      </w:pPr>
    </w:p>
    <w:p w14:paraId="69000000">
      <w:pPr>
        <w:rPr>
          <w:rFonts w:ascii="Times New Roman" w:hAnsi="Times New Roman"/>
        </w:rPr>
      </w:pPr>
    </w:p>
    <w:p w14:paraId="6A000000">
      <w:pPr>
        <w:rPr>
          <w:rFonts w:ascii="Times New Roman" w:hAnsi="Times New Roman"/>
        </w:rPr>
      </w:pPr>
    </w:p>
    <w:p w14:paraId="6B000000">
      <w:pPr>
        <w:rPr>
          <w:rFonts w:ascii="Times New Roman" w:hAnsi="Times New Roman"/>
        </w:rPr>
      </w:pPr>
    </w:p>
    <w:p w14:paraId="6C000000">
      <w:pPr>
        <w:rPr>
          <w:rFonts w:ascii="Times New Roman" w:hAnsi="Times New Roman"/>
        </w:rPr>
      </w:pPr>
    </w:p>
    <w:p w14:paraId="6D000000">
      <w:pPr>
        <w:rPr>
          <w:rFonts w:ascii="Times New Roman" w:hAnsi="Times New Roman"/>
        </w:rPr>
      </w:pPr>
    </w:p>
    <w:p w14:paraId="6E000000">
      <w:pPr>
        <w:rPr>
          <w:rFonts w:ascii="Times New Roman" w:hAnsi="Times New Roman"/>
        </w:rPr>
      </w:pPr>
    </w:p>
    <w:p w14:paraId="6F000000">
      <w:pPr>
        <w:rPr>
          <w:rFonts w:ascii="Times New Roman" w:hAnsi="Times New Roman"/>
        </w:rPr>
      </w:pPr>
    </w:p>
    <w:p w14:paraId="70000000">
      <w:pPr>
        <w:rPr>
          <w:rFonts w:ascii="Times New Roman" w:hAnsi="Times New Roman"/>
        </w:rPr>
      </w:pPr>
    </w:p>
    <w:p w14:paraId="71000000">
      <w:pPr>
        <w:rPr>
          <w:rFonts w:ascii="Times New Roman" w:hAnsi="Times New Roman"/>
        </w:rPr>
      </w:pPr>
    </w:p>
    <w:p w14:paraId="72000000">
      <w:pPr>
        <w:rPr>
          <w:rFonts w:ascii="Times New Roman" w:hAnsi="Times New Roman"/>
        </w:rPr>
      </w:pPr>
    </w:p>
    <w:p w14:paraId="73000000">
      <w:pPr>
        <w:rPr>
          <w:rFonts w:ascii="Times New Roman" w:hAnsi="Times New Roman"/>
        </w:rPr>
      </w:pPr>
    </w:p>
    <w:p w14:paraId="74000000">
      <w:pPr>
        <w:rPr>
          <w:rFonts w:ascii="Times New Roman" w:hAnsi="Times New Roman"/>
        </w:rPr>
      </w:pPr>
    </w:p>
    <w:p w14:paraId="75000000">
      <w:pPr>
        <w:rPr>
          <w:rFonts w:ascii="Times New Roman" w:hAnsi="Times New Roman"/>
        </w:rPr>
      </w:pPr>
    </w:p>
    <w:p w14:paraId="76000000">
      <w:pPr>
        <w:rPr>
          <w:rFonts w:ascii="Times New Roman" w:hAnsi="Times New Roman"/>
        </w:rPr>
      </w:pPr>
    </w:p>
    <w:p w14:paraId="77000000">
      <w:pPr>
        <w:rPr>
          <w:rFonts w:ascii="Times New Roman" w:hAnsi="Times New Roman"/>
        </w:rPr>
      </w:pPr>
    </w:p>
    <w:p w14:paraId="78000000">
      <w:pPr>
        <w:rPr>
          <w:rFonts w:ascii="Times New Roman" w:hAnsi="Times New Roman"/>
        </w:rPr>
      </w:pPr>
    </w:p>
    <w:p w14:paraId="79000000">
      <w:pPr>
        <w:rPr>
          <w:rFonts w:ascii="Times New Roman" w:hAnsi="Times New Roman"/>
        </w:rPr>
      </w:pPr>
    </w:p>
    <w:p w14:paraId="7A000000">
      <w:pPr>
        <w:rPr>
          <w:rFonts w:ascii="Times New Roman" w:hAnsi="Times New Roman"/>
        </w:rPr>
      </w:pPr>
    </w:p>
    <w:p w14:paraId="7B000000">
      <w:pPr>
        <w:rPr>
          <w:rFonts w:ascii="Times New Roman" w:hAnsi="Times New Roman"/>
        </w:rPr>
      </w:pPr>
    </w:p>
    <w:p w14:paraId="7C000000">
      <w:pPr>
        <w:rPr>
          <w:rFonts w:ascii="Times New Roman" w:hAnsi="Times New Roman"/>
        </w:rPr>
      </w:pPr>
    </w:p>
    <w:p w14:paraId="7D000000">
      <w:pPr>
        <w:rPr>
          <w:rFonts w:ascii="Times New Roman" w:hAnsi="Times New Roman"/>
        </w:rPr>
      </w:pPr>
    </w:p>
    <w:p w14:paraId="7E000000">
      <w:pPr>
        <w:rPr>
          <w:rFonts w:ascii="Times New Roman" w:hAnsi="Times New Roman"/>
        </w:rPr>
      </w:pPr>
    </w:p>
    <w:p w14:paraId="7F000000">
      <w:pPr>
        <w:rPr>
          <w:rFonts w:ascii="Times New Roman" w:hAnsi="Times New Roman"/>
        </w:rPr>
      </w:pPr>
    </w:p>
    <w:p w14:paraId="80000000">
      <w:pPr>
        <w:rPr>
          <w:rFonts w:ascii="Times New Roman" w:hAnsi="Times New Roman"/>
        </w:rPr>
      </w:pPr>
    </w:p>
    <w:p w14:paraId="81000000">
      <w:pPr>
        <w:rPr>
          <w:rFonts w:ascii="Times New Roman" w:hAnsi="Times New Roman"/>
        </w:rPr>
      </w:pPr>
    </w:p>
    <w:p w14:paraId="82000000">
      <w:pPr>
        <w:rPr>
          <w:rFonts w:ascii="Times New Roman" w:hAnsi="Times New Roman"/>
        </w:rPr>
      </w:pPr>
    </w:p>
    <w:p w14:paraId="83000000">
      <w:pPr>
        <w:rPr>
          <w:rFonts w:ascii="Times New Roman" w:hAnsi="Times New Roman"/>
        </w:rPr>
      </w:pPr>
    </w:p>
    <w:p w14:paraId="84000000">
      <w:pPr>
        <w:rPr>
          <w:rFonts w:ascii="Times New Roman" w:hAnsi="Times New Roman"/>
        </w:rPr>
      </w:pPr>
    </w:p>
    <w:p w14:paraId="85000000">
      <w:pPr>
        <w:rPr>
          <w:rFonts w:ascii="Times New Roman" w:hAnsi="Times New Roman"/>
        </w:rPr>
      </w:pPr>
    </w:p>
    <w:p w14:paraId="86000000">
      <w:pPr>
        <w:rPr>
          <w:rFonts w:ascii="Times New Roman" w:hAnsi="Times New Roman"/>
        </w:rPr>
      </w:pPr>
    </w:p>
    <w:p w14:paraId="87000000">
      <w:pPr>
        <w:rPr>
          <w:rFonts w:ascii="Times New Roman" w:hAnsi="Times New Roman"/>
        </w:rPr>
      </w:pPr>
    </w:p>
    <w:p w14:paraId="88000000">
      <w:pPr>
        <w:rPr>
          <w:rFonts w:ascii="Times New Roman" w:hAnsi="Times New Roman"/>
        </w:rPr>
      </w:pPr>
    </w:p>
    <w:p w14:paraId="89000000">
      <w:pPr>
        <w:rPr>
          <w:rFonts w:ascii="Times New Roman" w:hAnsi="Times New Roman"/>
        </w:rPr>
      </w:pPr>
    </w:p>
    <w:p w14:paraId="8A000000">
      <w:pPr>
        <w:rPr>
          <w:rFonts w:ascii="Times New Roman" w:hAnsi="Times New Roman"/>
        </w:rPr>
      </w:pPr>
    </w:p>
    <w:p w14:paraId="8B000000">
      <w:pPr>
        <w:rPr>
          <w:rFonts w:ascii="Times New Roman" w:hAnsi="Times New Roman"/>
        </w:rPr>
      </w:pPr>
    </w:p>
    <w:p w14:paraId="8C000000">
      <w:pPr>
        <w:rPr>
          <w:rFonts w:ascii="Times New Roman" w:hAnsi="Times New Roman"/>
        </w:rPr>
      </w:pPr>
    </w:p>
    <w:p w14:paraId="8D000000">
      <w:pPr>
        <w:rPr>
          <w:rFonts w:ascii="Times New Roman" w:hAnsi="Times New Roman"/>
        </w:rPr>
      </w:pPr>
      <w:r>
        <w:rPr>
          <w:rFonts w:ascii="Times New Roman" w:hAnsi="Times New Roman"/>
        </w:rPr>
        <w:t>Бородин Дмитрий Валерьевич</w:t>
      </w:r>
      <w:r>
        <w:rPr>
          <w:rFonts w:ascii="Times New Roman" w:hAnsi="Times New Roman"/>
        </w:rPr>
        <w:br/>
      </w:r>
      <w:r>
        <w:rPr>
          <w:rFonts w:ascii="Times New Roman" w:hAnsi="Times New Roman"/>
        </w:rPr>
        <w:t>(3823) 78-53-71</w:t>
      </w:r>
    </w:p>
    <w:sectPr>
      <w:headerReference r:id="rId1" w:type="first"/>
      <w:headerReference r:id="rId3" w:type="default"/>
      <w:footerReference r:id="rId2" w:type="first"/>
      <w:footerReference r:id="rId4" w:type="default"/>
      <w:pgSz w:h="16840" w:orient="portrait" w:w="11907"/>
      <w:pgMar w:bottom="1134" w:footer="457" w:gutter="0" w:header="567" w:left="1701" w:right="567" w:top="1134"/>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D000000">
    <w:pPr>
      <w:pStyle w:val="Style_4"/>
      <w:rPr>
        <w:sz w:val="16"/>
      </w:rPr>
    </w:pPr>
    <w:r>
      <w:t>Внутренний номер: 0311504</w:t>
    </w: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10000000">
    <w:pPr>
      <w:pStyle w:val="Style_4"/>
    </w:pPr>
  </w:p>
  <w:p w14:paraId="11000000">
    <w:pPr>
      <w:pStyle w:val="Style_4"/>
      <w:rPr>
        <w:sz w:val="16"/>
      </w:rPr>
    </w:pPr>
    <w:r>
      <w:t>Внутренний номер: 0311504</w:t>
    </w: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1000000">
    <w:pPr>
      <w:spacing w:before="120" w:line="276" w:lineRule="auto"/>
      <w:ind/>
      <w:rPr>
        <w:rFonts w:ascii="Times New Roman" w:hAnsi="Times New Roman"/>
        <w:b w:val="1"/>
      </w:rPr>
    </w:pPr>
    <w:r>
      <w:rPr>
        <w:b w:val="1"/>
      </w:rPr>
      <w:drawing>
        <wp:anchor allowOverlap="true" behindDoc="false" distB="0" distL="114300" distR="114300" distT="0" layoutInCell="true" locked="false" relativeHeight="251658240" simplePos="false">
          <wp:simplePos x="0" y="0"/>
          <wp:positionH relativeFrom="column">
            <wp:posOffset>2834005</wp:posOffset>
          </wp:positionH>
          <wp:positionV relativeFrom="paragraph">
            <wp:posOffset>-9525</wp:posOffset>
          </wp:positionV>
          <wp:extent cx="530225" cy="664845"/>
          <wp:effectExtent b="0" l="0" r="0" t="0"/>
          <wp:wrapThrough distL="114300" distR="114300" wrapText="bothSides">
            <wp:wrapPolygon>
              <wp:start x="0" y="0"/>
              <wp:lineTo x="0" y="21043"/>
              <wp:lineTo x="20953" y="21043"/>
              <wp:lineTo x="20953" y="0"/>
              <wp:lineTo x="0" y="0"/>
            </wp:wrapPolygon>
          </wp:wrapThrough>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530225" cy="664845"/>
                  </a:xfrm>
                  <a:prstGeom prst="rect"/>
                </pic:spPr>
              </pic:pic>
            </a:graphicData>
          </a:graphic>
        </wp:anchor>
      </w:drawing>
    </w:r>
    <w:r>
      <w:rPr>
        <w:rFonts w:ascii="Times New Roman" w:hAnsi="Times New Roman"/>
      </w:rPr>
      <w:t xml:space="preserve"> </w:t>
    </w:r>
    <w:r>
      <w:drawing>
        <wp:inline>
          <wp:extent cx="1513205" cy="360000"/>
          <wp:effectExtent b="0" l="0" r="0" t="0"/>
          <wp:docPr hidden="false" id="4" name="Picture 4"/>
          <a:graphic>
            <a:graphicData uri="http://schemas.openxmlformats.org/drawingml/2006/picture">
              <pic:pic>
                <pic:nvPicPr>
                  <pic:cNvPr hidden="false" id="3" name="Picture 3"/>
                  <pic:cNvPicPr preferRelativeResize="true"/>
                </pic:nvPicPr>
                <pic:blipFill>
                  <a:blip r:embed="rId2"/>
                  <a:srcRect b="0" l="0" r="0" t="0"/>
                  <a:stretch/>
                </pic:blipFill>
                <pic:spPr>
                  <a:xfrm flipH="false" flipV="false" rot="0">
                    <a:ext cx="1513205" cy="360000"/>
                  </a:xfrm>
                  <a:prstGeom prst="rect"/>
                </pic:spPr>
              </pic:pic>
            </a:graphicData>
          </a:graphic>
        </wp:inline>
      </w:drawing>
    </w:r>
  </w:p>
  <w:p w14:paraId="02000000">
    <w:pPr>
      <w:spacing w:line="276" w:lineRule="auto"/>
      <w:ind/>
      <w:jc w:val="center"/>
      <w:rPr>
        <w:rFonts w:ascii="Times New Roman" w:hAnsi="Times New Roman"/>
        <w:b w:val="1"/>
        <w:sz w:val="24"/>
      </w:rPr>
    </w:pPr>
  </w:p>
  <w:p w14:paraId="03000000">
    <w:pPr>
      <w:spacing w:line="276" w:lineRule="auto"/>
      <w:ind/>
      <w:jc w:val="center"/>
      <w:rPr>
        <w:rFonts w:ascii="Times New Roman" w:hAnsi="Times New Roman"/>
        <w:b w:val="1"/>
        <w:sz w:val="24"/>
      </w:rPr>
    </w:pPr>
  </w:p>
  <w:p w14:paraId="04000000">
    <w:pPr>
      <w:pStyle w:val="Style_1"/>
      <w:spacing w:after="120" w:before="120"/>
      <w:ind/>
      <w:rPr>
        <w:rFonts w:ascii="Times New Roman" w:hAnsi="Times New Roman"/>
      </w:rPr>
    </w:pPr>
    <w:r>
      <w:rPr>
        <w:rFonts w:ascii="Times New Roman" w:hAnsi="Times New Roman"/>
      </w:rPr>
      <w:t>АДМИНИСТРАЦИЯ ЗАТО СЕВЕРСК</w:t>
    </w:r>
  </w:p>
  <w:p w14:paraId="05000000">
    <w:pPr>
      <w:pStyle w:val="Style_1"/>
      <w:spacing w:after="120" w:before="120"/>
      <w:ind/>
      <w:rPr>
        <w:rFonts w:ascii="Times New Roman" w:hAnsi="Times New Roman"/>
      </w:rPr>
    </w:pPr>
    <w:r>
      <w:rPr>
        <w:rFonts w:ascii="Times New Roman" w:hAnsi="Times New Roman"/>
      </w:rPr>
      <w:t>ПОСТАНОВЛЕНИЕ</w:t>
    </w:r>
  </w:p>
  <w:p w14:paraId="06000000">
    <w:pPr>
      <w:rPr>
        <w:rFonts w:ascii="Times New Roman" w:hAnsi="Times New Roman"/>
        <w:sz w:val="24"/>
      </w:rPr>
    </w:pPr>
  </w:p>
  <w:tbl>
    <w:tblPr>
      <w:tblStyle w:val="Style_2"/>
      <w:tblInd w:type="dxa" w:w="108"/>
      <w:tblBorders>
        <w:top w:sz="4" w:val="nil"/>
        <w:left w:sz="4" w:val="nil"/>
        <w:bottom w:sz="4" w:val="nil"/>
        <w:right w:sz="4" w:val="nil"/>
        <w:insideH w:sz="4" w:val="nil"/>
        <w:insideV w:sz="4" w:val="nil"/>
      </w:tblBorders>
      <w:tblLayout w:type="fixed"/>
    </w:tblPr>
    <w:tblGrid>
      <w:gridCol w:w="2337"/>
      <w:gridCol w:w="5575"/>
      <w:gridCol w:w="1619"/>
    </w:tblGrid>
    <w:tr>
      <w:tc>
        <w:tcPr>
          <w:tcW w:type="dxa" w:w="2337"/>
          <w:tcBorders>
            <w:top w:sz="4" w:val="nil"/>
            <w:left w:sz="4" w:val="nil"/>
            <w:bottom w:color="000000" w:sz="4" w:val="single"/>
            <w:right w:sz="4" w:val="nil"/>
          </w:tcBorders>
        </w:tcPr>
        <w:p w14:paraId="07000000">
          <w:pPr>
            <w:ind/>
            <w:jc w:val="center"/>
            <w:rPr>
              <w:rFonts w:ascii="Times New Roman" w:hAnsi="Times New Roman"/>
              <w:sz w:val="24"/>
            </w:rPr>
          </w:pPr>
        </w:p>
      </w:tc>
      <w:tc>
        <w:tcPr>
          <w:tcW w:type="dxa" w:w="5575"/>
          <w:tcBorders>
            <w:top w:sz="4" w:val="nil"/>
            <w:left w:sz="4" w:val="nil"/>
            <w:bottom w:sz="4" w:val="nil"/>
            <w:right w:sz="4" w:val="nil"/>
          </w:tcBorders>
        </w:tcPr>
        <w:p w14:paraId="08000000">
          <w:pPr>
            <w:ind/>
            <w:jc w:val="right"/>
            <w:rPr>
              <w:rFonts w:ascii="Times New Roman" w:hAnsi="Times New Roman"/>
              <w:sz w:val="24"/>
            </w:rPr>
          </w:pPr>
          <w:r>
            <w:rPr>
              <w:rFonts w:ascii="Times New Roman" w:hAnsi="Times New Roman"/>
              <w:sz w:val="24"/>
            </w:rPr>
            <w:t xml:space="preserve"> №</w:t>
          </w:r>
        </w:p>
      </w:tc>
      <w:tc>
        <w:tcPr>
          <w:tcW w:type="dxa" w:w="1619"/>
          <w:tcBorders>
            <w:top w:sz="4" w:val="nil"/>
            <w:left w:sz="4" w:val="nil"/>
            <w:bottom w:color="000000" w:sz="4" w:val="single"/>
            <w:right w:sz="4" w:val="nil"/>
          </w:tcBorders>
        </w:tcPr>
        <w:p w14:paraId="09000000">
          <w:pPr>
            <w:ind/>
            <w:jc w:val="both"/>
            <w:rPr>
              <w:rFonts w:ascii="Times New Roman" w:hAnsi="Times New Roman"/>
              <w:sz w:val="24"/>
            </w:rPr>
          </w:pPr>
        </w:p>
      </w:tc>
    </w:tr>
  </w:tbl>
  <w:p w14:paraId="0A000000">
    <w:pPr>
      <w:pStyle w:val="Style_3"/>
      <w:ind/>
      <w:jc w:val="center"/>
      <w:rPr>
        <w:sz w:val="24"/>
      </w:rPr>
    </w:pPr>
  </w:p>
  <w:p w14:paraId="0B000000">
    <w:pPr>
      <w:spacing w:before="120" w:line="276" w:lineRule="auto"/>
      <w:ind/>
    </w:pPr>
    <w:r>
      <w:rPr>
        <w:rFonts w:ascii="Times New Roman" w:hAnsi="Times New Roman"/>
      </w:rPr>
      <w:t xml:space="preserve"> </w:t>
    </w:r>
  </w:p>
  <w:p w14:paraId="0C000000">
    <w:pPr>
      <w:pStyle w:val="Style_3"/>
      <w:ind/>
      <w:jc w:val="center"/>
      <w:rPr>
        <w:sz w:val="24"/>
      </w:rPr>
    </w:pP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0E000000">
    <w:pPr>
      <w:pStyle w:val="Style_3"/>
      <w:rPr>
        <w:sz w:val="24"/>
      </w:rPr>
    </w:pPr>
  </w:p>
  <w:p w14:paraId="0F000000">
    <w:pPr>
      <w:pStyle w:val="Style_3"/>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rPr>
      <w:rFonts w:ascii="Times New Roman CYR" w:hAnsi="Times New Roman CYR"/>
    </w:rPr>
  </w:style>
  <w:style w:default="1" w:styleId="Style_6_ch" w:type="character">
    <w:name w:val="Normal"/>
    <w:link w:val="Style_6"/>
    <w:rPr>
      <w:rFonts w:ascii="Times New Roman CYR" w:hAnsi="Times New Roman CYR"/>
    </w:rPr>
  </w:style>
  <w:style w:styleId="Style_7" w:type="paragraph">
    <w:name w:val="toc 2"/>
    <w:next w:val="Style_6"/>
    <w:link w:val="Style_7_ch"/>
    <w:uiPriority w:val="39"/>
    <w:pPr>
      <w:ind w:firstLine="0" w:left="200"/>
    </w:pPr>
    <w:rPr>
      <w:rFonts w:ascii="XO Thames" w:hAnsi="XO Thames"/>
      <w:sz w:val="28"/>
    </w:rPr>
  </w:style>
  <w:style w:styleId="Style_7_ch" w:type="character">
    <w:name w:val="toc 2"/>
    <w:link w:val="Style_7"/>
    <w:rPr>
      <w:rFonts w:ascii="XO Thames" w:hAnsi="XO Thames"/>
      <w:sz w:val="28"/>
    </w:rPr>
  </w:style>
  <w:style w:styleId="Style_8" w:type="paragraph">
    <w:name w:val="toc 4"/>
    <w:next w:val="Style_6"/>
    <w:link w:val="Style_8_ch"/>
    <w:uiPriority w:val="39"/>
    <w:pPr>
      <w:ind w:firstLine="0" w:left="600"/>
    </w:pPr>
    <w:rPr>
      <w:rFonts w:ascii="XO Thames" w:hAnsi="XO Thames"/>
      <w:sz w:val="28"/>
    </w:rPr>
  </w:style>
  <w:style w:styleId="Style_8_ch" w:type="character">
    <w:name w:val="toc 4"/>
    <w:link w:val="Style_8"/>
    <w:rPr>
      <w:rFonts w:ascii="XO Thames" w:hAnsi="XO Thames"/>
      <w:sz w:val="28"/>
    </w:rPr>
  </w:style>
  <w:style w:styleId="Style_9" w:type="paragraph">
    <w:name w:val="toc 6"/>
    <w:next w:val="Style_6"/>
    <w:link w:val="Style_9_ch"/>
    <w:uiPriority w:val="39"/>
    <w:pPr>
      <w:ind w:firstLine="0" w:left="1000"/>
    </w:pPr>
    <w:rPr>
      <w:rFonts w:ascii="XO Thames" w:hAnsi="XO Thames"/>
      <w:sz w:val="28"/>
    </w:rPr>
  </w:style>
  <w:style w:styleId="Style_9_ch" w:type="character">
    <w:name w:val="toc 6"/>
    <w:link w:val="Style_9"/>
    <w:rPr>
      <w:rFonts w:ascii="XO Thames" w:hAnsi="XO Thames"/>
      <w:sz w:val="28"/>
    </w:rPr>
  </w:style>
  <w:style w:styleId="Style_10" w:type="paragraph">
    <w:name w:val="toc 7"/>
    <w:next w:val="Style_6"/>
    <w:link w:val="Style_10_ch"/>
    <w:uiPriority w:val="39"/>
    <w:pPr>
      <w:ind w:firstLine="0" w:left="1200"/>
    </w:pPr>
    <w:rPr>
      <w:rFonts w:ascii="XO Thames" w:hAnsi="XO Thames"/>
      <w:sz w:val="28"/>
    </w:rPr>
  </w:style>
  <w:style w:styleId="Style_10_ch" w:type="character">
    <w:name w:val="toc 7"/>
    <w:link w:val="Style_10"/>
    <w:rPr>
      <w:rFonts w:ascii="XO Thames" w:hAnsi="XO Thames"/>
      <w:sz w:val="28"/>
    </w:rPr>
  </w:style>
  <w:style w:styleId="Style_11" w:type="paragraph">
    <w:name w:val="heading 3"/>
    <w:next w:val="Style_6"/>
    <w:link w:val="Style_11_ch"/>
    <w:uiPriority w:val="9"/>
    <w:qFormat/>
    <w:pPr>
      <w:spacing w:after="120" w:before="120"/>
      <w:ind/>
      <w:jc w:val="both"/>
      <w:outlineLvl w:val="2"/>
    </w:pPr>
    <w:rPr>
      <w:rFonts w:ascii="XO Thames" w:hAnsi="XO Thames"/>
      <w:b w:val="1"/>
      <w:sz w:val="26"/>
    </w:rPr>
  </w:style>
  <w:style w:styleId="Style_11_ch" w:type="character">
    <w:name w:val="heading 3"/>
    <w:link w:val="Style_11"/>
    <w:rPr>
      <w:rFonts w:ascii="XO Thames" w:hAnsi="XO Thames"/>
      <w:b w:val="1"/>
      <w:sz w:val="26"/>
    </w:rPr>
  </w:style>
  <w:style w:styleId="Style_12" w:type="paragraph">
    <w:name w:val="Plain Text"/>
    <w:basedOn w:val="Style_6"/>
    <w:link w:val="Style_12_ch"/>
    <w:rPr>
      <w:rFonts w:ascii="Courier New" w:hAnsi="Courier New"/>
    </w:rPr>
  </w:style>
  <w:style w:styleId="Style_12_ch" w:type="character">
    <w:name w:val="Plain Text"/>
    <w:basedOn w:val="Style_6_ch"/>
    <w:link w:val="Style_12"/>
    <w:rPr>
      <w:rFonts w:ascii="Courier New" w:hAnsi="Courier New"/>
    </w:rPr>
  </w:style>
  <w:style w:styleId="Style_13" w:type="paragraph">
    <w:name w:val="Обычный1"/>
    <w:link w:val="Style_13_ch"/>
    <w:rPr>
      <w:rFonts w:ascii="Times New Roman CYR" w:hAnsi="Times New Roman CYR"/>
    </w:rPr>
  </w:style>
  <w:style w:styleId="Style_13_ch" w:type="character">
    <w:name w:val="Обычный1"/>
    <w:link w:val="Style_13"/>
    <w:rPr>
      <w:rFonts w:ascii="Times New Roman CYR" w:hAnsi="Times New Roman CYR"/>
    </w:rPr>
  </w:style>
  <w:style w:styleId="Style_14" w:type="paragraph">
    <w:name w:val="Balloon Text"/>
    <w:basedOn w:val="Style_6"/>
    <w:link w:val="Style_14_ch"/>
    <w:rPr>
      <w:rFonts w:ascii="Tahoma" w:hAnsi="Tahoma"/>
      <w:sz w:val="16"/>
    </w:rPr>
  </w:style>
  <w:style w:styleId="Style_14_ch" w:type="character">
    <w:name w:val="Balloon Text"/>
    <w:basedOn w:val="Style_6_ch"/>
    <w:link w:val="Style_14"/>
    <w:rPr>
      <w:rFonts w:ascii="Tahoma" w:hAnsi="Tahoma"/>
      <w:sz w:val="16"/>
    </w:rPr>
  </w:style>
  <w:style w:styleId="Style_15" w:type="paragraph">
    <w:name w:val="toc 3"/>
    <w:next w:val="Style_6"/>
    <w:link w:val="Style_15_ch"/>
    <w:uiPriority w:val="39"/>
    <w:pPr>
      <w:ind w:firstLine="0" w:left="400"/>
    </w:pPr>
    <w:rPr>
      <w:rFonts w:ascii="XO Thames" w:hAnsi="XO Thames"/>
      <w:sz w:val="28"/>
    </w:rPr>
  </w:style>
  <w:style w:styleId="Style_15_ch" w:type="character">
    <w:name w:val="toc 3"/>
    <w:link w:val="Style_15"/>
    <w:rPr>
      <w:rFonts w:ascii="XO Thames" w:hAnsi="XO Thames"/>
      <w:sz w:val="28"/>
    </w:rPr>
  </w:style>
  <w:style w:styleId="Style_16" w:type="paragraph">
    <w:name w:val="Основной шрифт абзаца1"/>
    <w:link w:val="Style_16_ch"/>
  </w:style>
  <w:style w:styleId="Style_16_ch" w:type="character">
    <w:name w:val="Основной шрифт абзаца1"/>
    <w:link w:val="Style_16"/>
  </w:style>
  <w:style w:styleId="Style_17" w:type="paragraph">
    <w:name w:val="Default Paragraph Font"/>
    <w:link w:val="Style_17_ch"/>
  </w:style>
  <w:style w:styleId="Style_17_ch" w:type="character">
    <w:name w:val="Default Paragraph Font"/>
    <w:link w:val="Style_17"/>
  </w:style>
  <w:style w:styleId="Style_18" w:type="paragraph">
    <w:name w:val="heading 5"/>
    <w:next w:val="Style_6"/>
    <w:link w:val="Style_18_ch"/>
    <w:uiPriority w:val="9"/>
    <w:qFormat/>
    <w:pPr>
      <w:spacing w:after="120" w:before="120"/>
      <w:ind/>
      <w:jc w:val="both"/>
      <w:outlineLvl w:val="4"/>
    </w:pPr>
    <w:rPr>
      <w:rFonts w:ascii="XO Thames" w:hAnsi="XO Thames"/>
      <w:b w:val="1"/>
      <w:sz w:val="22"/>
    </w:rPr>
  </w:style>
  <w:style w:styleId="Style_18_ch" w:type="character">
    <w:name w:val="heading 5"/>
    <w:link w:val="Style_18"/>
    <w:rPr>
      <w:rFonts w:ascii="XO Thames" w:hAnsi="XO Thames"/>
      <w:b w:val="1"/>
      <w:sz w:val="22"/>
    </w:rPr>
  </w:style>
  <w:style w:styleId="Style_1" w:type="paragraph">
    <w:name w:val="heading 1"/>
    <w:basedOn w:val="Style_6"/>
    <w:next w:val="Style_6"/>
    <w:link w:val="Style_1_ch"/>
    <w:uiPriority w:val="9"/>
    <w:qFormat/>
    <w:pPr>
      <w:keepNext w:val="1"/>
      <w:ind/>
      <w:jc w:val="center"/>
      <w:outlineLvl w:val="0"/>
    </w:pPr>
    <w:rPr>
      <w:b w:val="1"/>
      <w:sz w:val="28"/>
    </w:rPr>
  </w:style>
  <w:style w:styleId="Style_1_ch" w:type="character">
    <w:name w:val="heading 1"/>
    <w:basedOn w:val="Style_6_ch"/>
    <w:link w:val="Style_1"/>
    <w:rPr>
      <w:b w:val="1"/>
      <w:sz w:val="28"/>
    </w:rPr>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basedOn w:val="Style_6"/>
    <w:link w:val="Style_20_ch"/>
  </w:style>
  <w:style w:styleId="Style_20_ch" w:type="character">
    <w:name w:val="Footnote"/>
    <w:basedOn w:val="Style_6_ch"/>
    <w:link w:val="Style_20"/>
  </w:style>
  <w:style w:styleId="Style_21" w:type="paragraph">
    <w:name w:val="toc 1"/>
    <w:next w:val="Style_6"/>
    <w:link w:val="Style_21_ch"/>
    <w:uiPriority w:val="39"/>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ind/>
      <w:jc w:val="both"/>
    </w:pPr>
    <w:rPr>
      <w:rFonts w:ascii="XO Thames" w:hAnsi="XO Thames"/>
    </w:rPr>
  </w:style>
  <w:style w:styleId="Style_22_ch" w:type="character">
    <w:name w:val="Header and Footer"/>
    <w:link w:val="Style_22"/>
    <w:rPr>
      <w:rFonts w:ascii="XO Thames" w:hAnsi="XO Thames"/>
    </w:rPr>
  </w:style>
  <w:style w:styleId="Style_23" w:type="paragraph">
    <w:name w:val="Гиперссылка1"/>
    <w:basedOn w:val="Style_16"/>
    <w:link w:val="Style_23_ch"/>
    <w:rPr>
      <w:color w:val="0000FF"/>
      <w:u w:val="single"/>
    </w:rPr>
  </w:style>
  <w:style w:styleId="Style_23_ch" w:type="character">
    <w:name w:val="Гиперссылка1"/>
    <w:basedOn w:val="Style_16_ch"/>
    <w:link w:val="Style_23"/>
    <w:rPr>
      <w:color w:val="0000FF"/>
      <w:u w:val="single"/>
    </w:rPr>
  </w:style>
  <w:style w:styleId="Style_24" w:type="paragraph">
    <w:name w:val="toc 9"/>
    <w:next w:val="Style_6"/>
    <w:link w:val="Style_24_ch"/>
    <w:uiPriority w:val="39"/>
    <w:pPr>
      <w:ind w:firstLine="0" w:left="1600"/>
    </w:pPr>
    <w:rPr>
      <w:rFonts w:ascii="XO Thames" w:hAnsi="XO Thames"/>
      <w:sz w:val="28"/>
    </w:rPr>
  </w:style>
  <w:style w:styleId="Style_24_ch" w:type="character">
    <w:name w:val="toc 9"/>
    <w:link w:val="Style_24"/>
    <w:rPr>
      <w:rFonts w:ascii="XO Thames" w:hAnsi="XO Thames"/>
      <w:sz w:val="28"/>
    </w:rPr>
  </w:style>
  <w:style w:styleId="Style_25" w:type="paragraph">
    <w:name w:val="toc 8"/>
    <w:next w:val="Style_6"/>
    <w:link w:val="Style_25_ch"/>
    <w:uiPriority w:val="39"/>
    <w:pPr>
      <w:ind w:firstLine="0" w:left="1400"/>
    </w:pPr>
    <w:rPr>
      <w:rFonts w:ascii="XO Thames" w:hAnsi="XO Thames"/>
      <w:sz w:val="28"/>
    </w:rPr>
  </w:style>
  <w:style w:styleId="Style_25_ch" w:type="character">
    <w:name w:val="toc 8"/>
    <w:link w:val="Style_25"/>
    <w:rPr>
      <w:rFonts w:ascii="XO Thames" w:hAnsi="XO Thames"/>
      <w:sz w:val="28"/>
    </w:rPr>
  </w:style>
  <w:style w:styleId="Style_3" w:type="paragraph">
    <w:name w:val="header"/>
    <w:basedOn w:val="Style_6"/>
    <w:link w:val="Style_3_ch"/>
    <w:pPr>
      <w:tabs>
        <w:tab w:leader="none" w:pos="4677" w:val="center"/>
        <w:tab w:leader="none" w:pos="9355" w:val="right"/>
      </w:tabs>
      <w:ind/>
    </w:pPr>
  </w:style>
  <w:style w:styleId="Style_3_ch" w:type="character">
    <w:name w:val="header"/>
    <w:basedOn w:val="Style_6_ch"/>
    <w:link w:val="Style_3"/>
  </w:style>
  <w:style w:styleId="Style_26" w:type="paragraph">
    <w:name w:val="toc 5"/>
    <w:next w:val="Style_6"/>
    <w:link w:val="Style_26_ch"/>
    <w:uiPriority w:val="39"/>
    <w:pPr>
      <w:ind w:firstLine="0" w:left="800"/>
    </w:pPr>
    <w:rPr>
      <w:rFonts w:ascii="XO Thames" w:hAnsi="XO Thames"/>
      <w:sz w:val="28"/>
    </w:rPr>
  </w:style>
  <w:style w:styleId="Style_26_ch" w:type="character">
    <w:name w:val="toc 5"/>
    <w:link w:val="Style_26"/>
    <w:rPr>
      <w:rFonts w:ascii="XO Thames" w:hAnsi="XO Thames"/>
      <w:sz w:val="28"/>
    </w:rPr>
  </w:style>
  <w:style w:styleId="Style_27" w:type="paragraph">
    <w:name w:val="Subtitle"/>
    <w:next w:val="Style_6"/>
    <w:link w:val="Style_27_ch"/>
    <w:uiPriority w:val="11"/>
    <w:qFormat/>
    <w:pPr>
      <w:ind/>
      <w:jc w:val="both"/>
    </w:pPr>
    <w:rPr>
      <w:rFonts w:ascii="XO Thames" w:hAnsi="XO Thames"/>
      <w:i w:val="1"/>
      <w:sz w:val="24"/>
    </w:rPr>
  </w:style>
  <w:style w:styleId="Style_27_ch" w:type="character">
    <w:name w:val="Subtitle"/>
    <w:link w:val="Style_27"/>
    <w:rPr>
      <w:rFonts w:ascii="XO Thames" w:hAnsi="XO Thames"/>
      <w:i w:val="1"/>
      <w:sz w:val="24"/>
    </w:rPr>
  </w:style>
  <w:style w:styleId="Style_28" w:type="paragraph">
    <w:name w:val="Title"/>
    <w:next w:val="Style_6"/>
    <w:link w:val="Style_28_ch"/>
    <w:uiPriority w:val="10"/>
    <w:qFormat/>
    <w:pPr>
      <w:spacing w:after="567" w:before="567"/>
      <w:ind/>
      <w:jc w:val="center"/>
    </w:pPr>
    <w:rPr>
      <w:rFonts w:ascii="XO Thames" w:hAnsi="XO Thames"/>
      <w:b w:val="1"/>
      <w:caps w:val="1"/>
      <w:sz w:val="40"/>
    </w:rPr>
  </w:style>
  <w:style w:styleId="Style_28_ch" w:type="character">
    <w:name w:val="Title"/>
    <w:link w:val="Style_28"/>
    <w:rPr>
      <w:rFonts w:ascii="XO Thames" w:hAnsi="XO Thames"/>
      <w:b w:val="1"/>
      <w:caps w:val="1"/>
      <w:sz w:val="40"/>
    </w:rPr>
  </w:style>
  <w:style w:styleId="Style_29" w:type="paragraph">
    <w:name w:val="heading 4"/>
    <w:basedOn w:val="Style_6"/>
    <w:next w:val="Style_6"/>
    <w:link w:val="Style_29_ch"/>
    <w:uiPriority w:val="9"/>
    <w:qFormat/>
    <w:pPr>
      <w:keepNext w:val="1"/>
      <w:spacing w:before="120"/>
      <w:ind/>
      <w:outlineLvl w:val="3"/>
    </w:pPr>
    <w:rPr>
      <w:sz w:val="24"/>
    </w:rPr>
  </w:style>
  <w:style w:styleId="Style_29_ch" w:type="character">
    <w:name w:val="heading 4"/>
    <w:basedOn w:val="Style_6_ch"/>
    <w:link w:val="Style_29"/>
    <w:rPr>
      <w:sz w:val="24"/>
    </w:rPr>
  </w:style>
  <w:style w:styleId="Style_30" w:type="paragraph">
    <w:name w:val="heading 2"/>
    <w:next w:val="Style_6"/>
    <w:link w:val="Style_30_ch"/>
    <w:uiPriority w:val="9"/>
    <w:qFormat/>
    <w:pPr>
      <w:spacing w:after="120" w:before="120"/>
      <w:ind/>
      <w:jc w:val="both"/>
      <w:outlineLvl w:val="1"/>
    </w:pPr>
    <w:rPr>
      <w:rFonts w:ascii="XO Thames" w:hAnsi="XO Thames"/>
      <w:b w:val="1"/>
      <w:sz w:val="28"/>
    </w:rPr>
  </w:style>
  <w:style w:styleId="Style_30_ch" w:type="character">
    <w:name w:val="heading 2"/>
    <w:link w:val="Style_30"/>
    <w:rPr>
      <w:rFonts w:ascii="XO Thames" w:hAnsi="XO Thames"/>
      <w:b w:val="1"/>
      <w:sz w:val="28"/>
    </w:rPr>
  </w:style>
  <w:style w:styleId="Style_4" w:type="paragraph">
    <w:name w:val="footer"/>
    <w:basedOn w:val="Style_6"/>
    <w:link w:val="Style_4_ch"/>
    <w:pPr>
      <w:tabs>
        <w:tab w:leader="none" w:pos="4677" w:val="center"/>
        <w:tab w:leader="none" w:pos="9355" w:val="right"/>
      </w:tabs>
      <w:ind/>
    </w:pPr>
  </w:style>
  <w:style w:styleId="Style_4_ch" w:type="character">
    <w:name w:val="footer"/>
    <w:basedOn w:val="Style_6_ch"/>
    <w:link w:val="Style_4"/>
  </w:style>
  <w:style w:styleId="Style_31" w:type="paragraph">
    <w:name w:val="Знак сноски1"/>
    <w:basedOn w:val="Style_16"/>
    <w:link w:val="Style_31_ch"/>
    <w:rPr>
      <w:vertAlign w:val="superscript"/>
    </w:rPr>
  </w:style>
  <w:style w:styleId="Style_31_ch" w:type="character">
    <w:name w:val="Знак сноски1"/>
    <w:basedOn w:val="Style_16_ch"/>
    <w:link w:val="Style_31"/>
    <w:rPr>
      <w:vertAlign w:val="superscript"/>
    </w:rPr>
  </w:style>
  <w:style w:styleId="Style_2" w:type="table">
    <w:name w:val="Table Grid"/>
    <w:basedOn w:val="Style_5"/>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5"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0" Target="theme/theme1.xml" Type="http://schemas.openxmlformats.org/officeDocument/2006/relationships/theme"/>
  <Relationship Id="rId9" Target="webSettings.xml" Type="http://schemas.openxmlformats.org/officeDocument/2006/relationships/webSettings"/>
  <Relationship Id="rId8" Target="stylesWithEffects.xml" Type="http://schemas.microsoft.com/office/2007/relationships/stylesWithEffects"/>
  <Relationship Id="rId7" Target="styles.xml" Type="http://schemas.openxmlformats.org/officeDocument/2006/relationships/styles"/>
  <Relationship Id="rId6" Target="settings.xml" Type="http://schemas.openxmlformats.org/officeDocument/2006/relationships/settings"/>
  <Relationship Id="rId5" Target="fontTable.xml" Type="http://schemas.openxmlformats.org/officeDocument/2006/relationships/fontTable"/>
  <Relationship Id="rId4" Target="footer4.xml" Type="http://schemas.openxmlformats.org/officeDocument/2006/relationships/footer"/>
  <Relationship Id="rId3" Target="header3.xml" Type="http://schemas.openxmlformats.org/officeDocument/2006/relationships/header"/>
  <Relationship Id="rId2" Target="footer2.xml" Type="http://schemas.openxmlformats.org/officeDocument/2006/relationships/footer"/>
  <Relationship Id="rId1" Target="header1.xml" Type="http://schemas.openxmlformats.org/officeDocument/2006/relationships/header"/>
</Relationships>

</file>

<file path=word/_rels/header1.xml.rels><?xml version="1.0" encoding="UTF-8" standalone="no" ?>
<Relationships xmlns="http://schemas.openxmlformats.org/package/2006/relationships">
  <Relationship Id="rId2" Target="media/2.png" Type="http://schemas.openxmlformats.org/officeDocument/2006/relationships/image"/>
  <Relationship Id="rId1" Target="media/1.jpeg" Type="http://schemas.openxmlformats.org/officeDocument/2006/relationships/imag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2024-01-29T04:15:59Z</dcterms:modified>
</cp:coreProperties>
</file>