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framePr w:w="2664" w:h="1010" w:hSpace="181" w:wrap="around" w:hAnchor="page" w:vAnchor="text" w:x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226650"/>
            <wp:effectExtent l="0" t="0" r="0" b="0"/>
            <wp:docPr id="1025" name="shape1025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3205" cy="226650"/>
                    </a:xfrm>
                    <a:prstGeom prst="rect"/>
                    <a:noFill/>
                    <a:ln>
                      <a:noFill/>
                      <a:miter lim="800000"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Times New Roman" w:hAnsi="Times New Roman"/>
          <w:sz w:val="24"/>
          <w:szCs w:val="24"/>
        </w:rPr>
      </w:pPr>
    </w:p>
    <w:tbl>
      <w:tblPr>
        <w:tblStyle w:val="afffff5"/>
        <w:tblpPr w:leftFromText="180" w:rightFromText="180" w:vertAnchor="text" w:horzAnchor="text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bookmarkStart w:id="1" w:name="_Hlk168391825"/>
            <w:bookmarkStart w:id="2" w:name="_Hlk170808042"/>
            <w:r>
              <w:rPr>
                <w:sz w:val="24"/>
                <w:szCs w:val="24"/>
              </w:rPr>
              <w:t xml:space="preserve">:   </w:t>
            </w:r>
            <w:bookmarkStart w:id="3" w:name="_Hlk168562079"/>
            <w:bookmarkStart w:id="4" w:name="_Hlk175295942"/>
            <w:bookmarkEnd w:id="1"/>
            <w:bookmarkEnd w:id="2"/>
            <w:r>
              <w:rPr>
                <w:sz w:val="24"/>
                <w:szCs w:val="24"/>
              </w:rPr>
              <w:t>Томская область, ЗАТО Северск, г.Северск, ул.</w:t>
            </w:r>
            <w:r>
              <w:rPr>
                <w:sz w:val="24"/>
                <w:szCs w:val="24"/>
                <w:rtl w:val="off"/>
              </w:rPr>
              <w:t>Советская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rtl w:val="off"/>
              </w:rPr>
              <w:t>14</w:t>
            </w:r>
            <w:r>
              <w:rPr>
                <w:sz w:val="24"/>
                <w:szCs w:val="24"/>
              </w:rPr>
              <w:t>/1, пом</w:t>
            </w:r>
            <w:r>
              <w:rPr>
                <w:sz w:val="24"/>
                <w:szCs w:val="24"/>
                <w:rtl w:val="off"/>
              </w:rPr>
              <w:t>.2</w:t>
            </w:r>
            <w:bookmarkEnd w:id="3"/>
            <w:bookmarkEnd w:id="4"/>
            <w:r>
              <w:rPr>
                <w:sz w:val="24"/>
                <w:szCs w:val="24"/>
                <w:rtl w:val="off"/>
              </w:rPr>
              <w:t>2</w:t>
            </w:r>
          </w:p>
        </w:tc>
      </w:tr>
    </w:tbl>
    <w:p>
      <w:pPr>
        <w:rPr>
          <w:rFonts w:ascii="Times New Roman" w:hAnsi="Times New Roman"/>
          <w:sz w:val="24"/>
          <w:szCs w:val="24"/>
        </w:rPr>
      </w:pPr>
    </w:p>
    <w:p>
      <w:pPr>
        <w:jc w:val="both"/>
        <w:tabs>
          <w:tab w:val="left" w:pos="709"/>
        </w:tabs>
        <w:rPr>
          <w:rFonts w:ascii="Times New Roman" w:hAnsi="Times New Roman"/>
          <w:sz w:val="24"/>
          <w:szCs w:val="24"/>
        </w:rPr>
      </w:pPr>
    </w:p>
    <w:p>
      <w:pPr>
        <w:jc w:val="center"/>
        <w:rPr>
          <w:rFonts w:ascii="Times New Roman" w:hAnsi="Times New Roman"/>
          <w:sz w:val="24"/>
          <w:szCs w:val="24"/>
        </w:rPr>
      </w:pPr>
    </w:p>
    <w:p>
      <w:pPr>
        <w:rPr>
          <w:rFonts w:ascii="Times New Roman" w:hAnsi="Times New Roman"/>
          <w:sz w:val="24"/>
          <w:szCs w:val="24"/>
        </w:rPr>
      </w:pPr>
    </w:p>
    <w:p>
      <w:pPr>
        <w:pStyle w:val="ConsPlusNormal"/>
        <w:ind w:firstLine="708"/>
        <w:jc w:val="both"/>
        <w:rPr>
          <w:sz w:val="24"/>
          <w:szCs w:val="24"/>
        </w:rPr>
      </w:pPr>
    </w:p>
    <w:p>
      <w:pPr>
        <w:pStyle w:val="ConsPlusNormal"/>
        <w:ind w:firstLine="708"/>
        <w:jc w:val="both"/>
        <w:rPr>
          <w:sz w:val="24"/>
          <w:szCs w:val="24"/>
        </w:rPr>
      </w:pPr>
    </w:p>
    <w:p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со статьей 69</w:t>
      </w: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 Федерального закона от 13 июля 2015 года № 218-ФЗ </w:t>
      </w:r>
    </w:p>
    <w:p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«О государственной регистрации недвижимости»</w:t>
      </w:r>
    </w:p>
    <w:p>
      <w:pPr>
        <w:pStyle w:val="ConsPlusNormal"/>
        <w:ind w:firstLine="708"/>
        <w:jc w:val="both"/>
        <w:rPr>
          <w:sz w:val="24"/>
          <w:szCs w:val="24"/>
        </w:rPr>
      </w:pPr>
    </w:p>
    <w:p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ПОСТАНОВЛЯЕТ:</w:t>
      </w: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>
        <w:rPr>
          <w:sz w:val="24"/>
          <w:szCs w:val="24"/>
        </w:rPr>
        <w:t>Томская область, ЗАТО Северск, г.Северск, ул.</w:t>
      </w:r>
      <w:r>
        <w:rPr>
          <w:sz w:val="24"/>
          <w:szCs w:val="24"/>
          <w:rtl w:val="off"/>
        </w:rPr>
        <w:t>Советская</w:t>
      </w:r>
      <w:r>
        <w:rPr>
          <w:sz w:val="24"/>
          <w:szCs w:val="24"/>
        </w:rPr>
        <w:t xml:space="preserve">, </w:t>
      </w:r>
      <w:r>
        <w:rPr>
          <w:sz w:val="24"/>
          <w:szCs w:val="24"/>
          <w:rtl w:val="off"/>
        </w:rPr>
        <w:t>14</w:t>
      </w:r>
      <w:r>
        <w:rPr>
          <w:sz w:val="24"/>
          <w:szCs w:val="24"/>
        </w:rPr>
        <w:t>/1, пом.</w:t>
      </w:r>
      <w:r>
        <w:rPr>
          <w:sz w:val="24"/>
          <w:szCs w:val="24"/>
          <w:rtl w:val="off"/>
        </w:rPr>
        <w:t>22</w:t>
      </w:r>
      <w:r>
        <w:rPr>
          <w:sz w:val="24"/>
          <w:szCs w:val="24"/>
        </w:rPr>
        <w:t xml:space="preserve">, общей площадью </w:t>
      </w:r>
      <w:r>
        <w:rPr>
          <w:sz w:val="24"/>
          <w:szCs w:val="24"/>
          <w:rtl w:val="off"/>
        </w:rPr>
        <w:t xml:space="preserve">4,6 </w:t>
      </w:r>
      <w:r>
        <w:rPr>
          <w:sz w:val="24"/>
          <w:szCs w:val="24"/>
        </w:rPr>
        <w:t xml:space="preserve"> кв.м</w:t>
      </w:r>
      <w:r>
        <w:rPr>
          <w:rFonts w:ascii="Times New Roman" w:hAnsi="Times New Roman"/>
          <w:sz w:val="24"/>
          <w:szCs w:val="24"/>
        </w:rPr>
        <w:t xml:space="preserve"> (кадастровый номер </w:t>
      </w:r>
      <w:r>
        <w:rPr>
          <w:rFonts w:ascii="Times New Roman" w:hAnsi="Times New Roman"/>
          <w:color w:val="000000"/>
          <w:sz w:val="24"/>
          <w:szCs w:val="24"/>
        </w:rPr>
        <w:t>70:22:001010</w:t>
      </w:r>
      <w:r>
        <w:rPr>
          <w:rFonts w:ascii="Times New Roman" w:hAnsi="Times New Roman"/>
          <w:color w:val="000000"/>
          <w:sz w:val="24"/>
          <w:szCs w:val="24"/>
          <w:rtl w:val="off"/>
        </w:rPr>
        <w:t>3</w:t>
      </w:r>
      <w:r>
        <w:rPr>
          <w:rFonts w:ascii="Times New Roman" w:hAnsi="Times New Roman"/>
          <w:color w:val="000000"/>
          <w:sz w:val="24"/>
          <w:szCs w:val="24"/>
        </w:rPr>
        <w:t>:3</w:t>
      </w:r>
      <w:r>
        <w:rPr>
          <w:rFonts w:ascii="Times New Roman" w:hAnsi="Times New Roman"/>
          <w:color w:val="000000"/>
          <w:sz w:val="24"/>
          <w:szCs w:val="24"/>
          <w:rtl w:val="off"/>
        </w:rPr>
        <w:t>913</w:t>
      </w:r>
      <w:r>
        <w:rPr>
          <w:rFonts w:ascii="Times New Roman" w:hAnsi="Times New Roman"/>
          <w:color w:val="000000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, выявлен</w:t>
      </w:r>
      <w:r>
        <w:rPr>
          <w:rFonts w:ascii="Times New Roman" w:hAnsi="Times New Roman"/>
          <w:sz w:val="24"/>
          <w:szCs w:val="24"/>
          <w:rtl w:val="off"/>
        </w:rPr>
        <w:t>а</w:t>
      </w:r>
      <w:r>
        <w:rPr>
          <w:rFonts w:ascii="Times New Roman" w:hAnsi="Times New Roman"/>
          <w:sz w:val="24"/>
          <w:szCs w:val="24"/>
        </w:rPr>
        <w:t xml:space="preserve"> в качестве правообладателя, владеющего данным объектом недвижимости на праве собственности, </w:t>
      </w:r>
      <w:r>
        <w:rPr>
          <w:rFonts w:ascii="Times New Roman" w:hAnsi="Times New Roman"/>
          <w:sz w:val="24"/>
          <w:szCs w:val="24"/>
          <w:rtl w:val="off"/>
        </w:rPr>
        <w:t>Бродская Ирина Константиновна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  <w:rtl w:val="off"/>
        </w:rPr>
        <w:t>ХХХХ</w:t>
      </w:r>
      <w:r>
        <w:rPr>
          <w:rFonts w:ascii="Times New Roman" w:hAnsi="Times New Roman"/>
          <w:sz w:val="24"/>
          <w:szCs w:val="24"/>
        </w:rPr>
        <w:t xml:space="preserve">г.р., место рождения: </w:t>
      </w:r>
      <w:r>
        <w:rPr>
          <w:rFonts w:ascii="Times New Roman" w:hAnsi="Times New Roman"/>
          <w:sz w:val="24"/>
          <w:szCs w:val="24"/>
          <w:rtl w:val="off"/>
        </w:rPr>
        <w:t>ХХХХХ,</w:t>
      </w:r>
      <w:r>
        <w:rPr>
          <w:rFonts w:ascii="Times New Roman" w:hAnsi="Times New Roman"/>
          <w:sz w:val="24"/>
          <w:szCs w:val="24"/>
        </w:rPr>
        <w:t xml:space="preserve"> паспорт: серия </w:t>
      </w:r>
      <w:r>
        <w:rPr>
          <w:rFonts w:ascii="Times New Roman" w:hAnsi="Times New Roman"/>
          <w:sz w:val="24"/>
          <w:szCs w:val="24"/>
          <w:rtl w:val="off"/>
        </w:rPr>
        <w:t>ХХХХ</w:t>
      </w:r>
      <w:r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  <w:rtl w:val="off"/>
        </w:rPr>
        <w:t>ХХХХХХ,</w:t>
      </w:r>
      <w:r>
        <w:rPr>
          <w:rFonts w:ascii="Times New Roman" w:hAnsi="Times New Roman"/>
          <w:sz w:val="24"/>
          <w:szCs w:val="24"/>
        </w:rPr>
        <w:t xml:space="preserve"> выдан </w:t>
      </w:r>
      <w:r>
        <w:rPr>
          <w:rFonts w:ascii="Times New Roman" w:hAnsi="Times New Roman"/>
          <w:sz w:val="24"/>
          <w:szCs w:val="24"/>
          <w:rtl w:val="off"/>
        </w:rPr>
        <w:t>ХХХХХХХХХ</w:t>
      </w:r>
      <w:r>
        <w:rPr>
          <w:rFonts w:ascii="Times New Roman" w:hAnsi="Times New Roman"/>
          <w:sz w:val="24"/>
          <w:szCs w:val="24"/>
        </w:rPr>
        <w:t xml:space="preserve">, дата выдачи </w:t>
      </w:r>
      <w:r>
        <w:rPr>
          <w:rFonts w:ascii="Times New Roman" w:hAnsi="Times New Roman"/>
          <w:sz w:val="24"/>
          <w:szCs w:val="24"/>
          <w:rtl w:val="off"/>
        </w:rPr>
        <w:t>ХХХХ</w:t>
      </w:r>
      <w:r>
        <w:rPr>
          <w:rFonts w:ascii="Times New Roman" w:hAnsi="Times New Roman"/>
          <w:sz w:val="24"/>
          <w:szCs w:val="24"/>
        </w:rPr>
        <w:t xml:space="preserve">, СНИЛС: </w:t>
      </w:r>
      <w:r>
        <w:rPr>
          <w:rFonts w:ascii="Times New Roman" w:hAnsi="Times New Roman"/>
          <w:sz w:val="24"/>
          <w:szCs w:val="24"/>
          <w:rtl w:val="off"/>
        </w:rPr>
        <w:t>ХХХХХХХХ</w:t>
      </w:r>
      <w:r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  <w:rtl w:val="off"/>
        </w:rPr>
        <w:t>ая</w:t>
      </w:r>
      <w:r>
        <w:rPr>
          <w:rFonts w:ascii="Times New Roman" w:hAnsi="Times New Roman"/>
          <w:sz w:val="24"/>
          <w:szCs w:val="24"/>
        </w:rPr>
        <w:t xml:space="preserve"> по адресу: </w:t>
      </w:r>
      <w:r>
        <w:rPr>
          <w:rFonts w:ascii="Times New Roman" w:hAnsi="Times New Roman"/>
          <w:sz w:val="24"/>
          <w:szCs w:val="24"/>
          <w:rtl w:val="off"/>
        </w:rPr>
        <w:t>ХХХХХХХХХХХХ.</w:t>
      </w:r>
    </w:p>
    <w:p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  <w:rtl w:val="off"/>
        </w:rPr>
        <w:t>Бродской Ирины Константиновны</w:t>
      </w:r>
      <w:r>
        <w:rPr>
          <w:rFonts w:ascii="Times New Roman" w:hAnsi="Times New Roman"/>
          <w:sz w:val="24"/>
          <w:szCs w:val="24"/>
        </w:rPr>
        <w:t xml:space="preserve">, указанный в пункте 1 настоящего постановления объект недвижимости подтверждается </w:t>
      </w:r>
      <w:r>
        <w:rPr>
          <w:rFonts w:ascii="Times New Roman" w:hAnsi="Times New Roman"/>
          <w:sz w:val="24"/>
          <w:szCs w:val="24"/>
          <w:rtl w:val="off"/>
        </w:rPr>
        <w:t>Постановлением Главы Администрации г.Северска от 26.11.1996 № 2229.</w:t>
      </w:r>
    </w:p>
    <w:p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 Комитету архитектуры и градостроительства Администрации ЗАТО Северск обеспечить внесение в Единый государственный реестр недвижимости сведений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>
      <w:pPr>
        <w:pStyle w:val="aff4"/>
        <w:ind w:firstLine="708"/>
        <w:jc w:val="both"/>
      </w:pPr>
      <w:r>
        <w:t>4. Контроль за исполнением постановления возложить на председателя Комитета архитектуры и градостроительства Администрации ЗАТО Северск.</w:t>
      </w:r>
    </w:p>
    <w:p>
      <w:pPr>
        <w:pStyle w:val="aff4"/>
        <w:ind w:firstLine="708"/>
        <w:jc w:val="both"/>
      </w:pPr>
    </w:p>
    <w:p>
      <w:pPr>
        <w:pStyle w:val="ConsNormal"/>
        <w:ind w:right="0" w:firstLine="705"/>
        <w:widowControl/>
        <w:jc w:val="both"/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ook w:val="01E0" w:firstRow="1" w:lastRow="1" w:firstColumn="1" w:lastColumn="1" w:noHBand="0" w:noVBand="0"/>
        <w:tblLayout w:type="fixed"/>
      </w:tblPr>
      <w:tblGrid>
        <w:gridCol w:w="4860"/>
        <w:gridCol w:w="4860"/>
      </w:tblGrid>
      <w:tr>
        <w:tc>
          <w:tcPr>
            <w:tcW w:w="4860" w:type="dxa"/>
            <w:shd w:val="clear" w:color="auto" w:fill="auto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bookmarkStart w:id="6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>
            <w:pPr>
              <w:jc w:val="both"/>
              <w:tabs>
                <w:tab w:val="left" w:pos="230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bookmarkStart w:id="7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>
      <w:pPr>
        <w:jc w:val="both"/>
        <w:rPr>
          <w:lang w:val="en-US"/>
          <w:rFonts w:ascii="Times New Roman" w:hAnsi="Times New Roman"/>
          <w:sz w:val="24"/>
          <w:szCs w:val="24"/>
        </w:rPr>
      </w:pPr>
    </w:p>
    <w:sectPr>
      <w:pgSz w:w="11907" w:h="16840" w:code="9"/>
      <w:pgMar w:top="1134" w:right="567" w:bottom="567" w:left="1701" w:header="567" w:footer="457" w:gutter="0"/>
      <w:cols w:space="720"/>
      <w:docGrid w:linePitch="272"/>
      <w:headerReference w:type="default" r:id="rId2"/>
      <w:headerReference w:type="first" r:id="rId3"/>
      <w:footerReference w:type="default" r:id="rId4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00"/>
    <w:notTrueType w:val="true"/>
    <w:sig w:usb0="E0002EFF" w:usb1="C000785B" w:usb2="00000009" w:usb3="00000001" w:csb0="400001FF" w:csb1="FFFF0000"/>
  </w:font>
  <w:font w:name="Times New Roman CYR">
    <w:panose1 w:val="02020603050405020304"/>
    <w:family w:val="roman"/>
    <w:charset w:val="cc"/>
    <w:notTrueType w:val="false"/>
    <w:pitch w:val="variable"/>
    <w:sig w:usb0="E0002EFF" w:usb1="C000785B" w:usb2="00000009" w:usb3="00000000" w:csb0="000001FF" w:csb1="00000000"/>
  </w:font>
  <w:font w:name="Arial">
    <w:panose1 w:val="020B0604020202020204"/>
    <w:family w:val="swiss"/>
    <w:charset w:val="00"/>
    <w:notTrueType w:val="true"/>
    <w:sig w:usb0="E0002EFF" w:usb1="C000785B" w:usb2="00000009" w:usb3="00000001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ffa"/>
      <w:rPr>
        <w:sz w:val="16"/>
      </w:rPr>
    </w:pPr>
    <w:r>
      <w:t>Внутренний номер: 0288969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f8"/>
      <w:jc w:val="center"/>
      <w:rPr>
        <w:sz w:val="24"/>
        <w:szCs w:val="24"/>
      </w:rPr>
    </w:pPr>
  </w:p>
  <w:p>
    <w:pPr>
      <w:pStyle w:val="af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sdt>
    <w:sdtPr>
      <w:rPr>
        <w:b/>
        <w:sz w:val="28"/>
      </w:rPr>
      <w:id w:val="-1"/>
      <w:docPartObj>
        <w:docPartGallery w:val="Page Numbers (Top of Page)"/>
        <w:docPartUnique/>
      </w:docPartObj>
    </w:sdtPr>
    <w:sdtEndPr>
      <w:rPr>
        <w:sz w:val="24"/>
      </w:rPr>
    </w:sdtEndPr>
    <w:sdtContent>
      <w:p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behindDoc="0" locked="0" layoutInCell="0" simplePos="0" relativeHeight="251659264" allowOverlap="1" hidden="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0" b="0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049" name="shape2049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이미지"/>
                      <pic:cNvPicPr preferRelativeResize="1"/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30225" cy="664845"/>
                      </a:xfrm>
                      <a:prstGeom prst="rect"/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sz w:val="28"/>
            <w:szCs w:val="28"/>
          </w:rPr>
          <w:t>ПРОЕКТ</w:t>
        </w:r>
      </w:p>
      <w:p>
        <w:pPr>
          <w:jc w:val="center"/>
          <w:spacing w:line="276" w:lineRule="auto"/>
          <w:rPr>
            <w:rFonts w:ascii="Times New Roman" w:hAnsi="Times New Roman"/>
            <w:b/>
            <w:sz w:val="24"/>
          </w:rPr>
        </w:pPr>
      </w:p>
      <w:p>
        <w:pPr>
          <w:jc w:val="center"/>
          <w:spacing w:line="276" w:lineRule="auto"/>
          <w:rPr>
            <w:rFonts w:ascii="Times New Roman" w:hAnsi="Times New Roman"/>
            <w:b/>
            <w:sz w:val="24"/>
          </w:rPr>
        </w:pPr>
      </w:p>
      <w:p>
        <w:pPr>
          <w:pStyle w:val="1"/>
          <w:spacing w:after="120" w:before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>АДМИНИСТРАЦИЯ ЗАТО СЕВЕРСК</w:t>
        </w:r>
      </w:p>
      <w:p>
        <w:pPr>
          <w:pStyle w:val="1"/>
          <w:spacing w:after="120" w:before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>ПОСТАНОВЛЕНИЕ</w:t>
        </w:r>
      </w:p>
      <w:p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fffff5"/>
          <w:tblW w:w="0" w:type="auto"/>
          <w:tblInd w:w="108" w:type="dxa"/>
          <w:tblBorders>
            <w:top w:val="none"/>
            <w:left w:val="none"/>
            <w:bottom w:val="none"/>
            <w:right w:val="none"/>
            <w:insideH w:val="none"/>
            <w:insideV w:val="none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>
          <w:tc>
            <w:tcPr>
              <w:tcW w:w="2340" w:type="dxa"/>
              <w:tcBorders>
                <w:bottom w:val="single" w:sz="4" w:space="0" w:color="auto"/>
              </w:tcBorders>
            </w:tcPr>
            <w:p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99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="Times New Roman" w:eastAsia="Times New Roman" w:hAnsi="Times New Roman" w:cs="Times New Roman"/>
      </w:rPr>
    </w:rPrDefault>
    <w:pPrDefault>
      <w:pPr/>
    </w:pPrDefault>
  </w:docDefaults>
  <w:style w:type="paragraph" w:default="1" w:styleId="a1">
    <w:name w:val="Normal"/>
    <w:qFormat/>
    <w:rPr>
      <w:rFonts w:ascii="Times New Roman CYR" w:hAnsi="Times New Roman CYR"/>
    </w:rPr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f8">
    <w:name w:val="header"/>
    <w:basedOn w:val="a1"/>
    <w:link w:val="Normal"/>
    <w:pPr>
      <w:tabs>
        <w:tab w:val="center" w:pos="4677"/>
        <w:tab w:val="right" w:pos="9355"/>
      </w:tabs>
    </w:pPr>
  </w:style>
  <w:style w:type="paragraph" w:styleId="aff4">
    <w:name w:val="Body Text"/>
    <w:basedOn w:val="a1"/>
    <w:link w:val="Normal"/>
    <w:pPr>
      <w:spacing w:after="120"/>
    </w:pPr>
    <w:rPr>
      <w:rFonts w:ascii="Times New Roman" w:hAnsi="Times New Roman"/>
      <w:sz w:val="24"/>
      <w:szCs w:val="24"/>
    </w:rPr>
  </w:style>
  <w:style w:type="paragraph" w:styleId="affa">
    <w:name w:val="footer"/>
    <w:basedOn w:val="a1"/>
    <w:link w:val="Normal"/>
    <w:pPr>
      <w:tabs>
        <w:tab w:val="center" w:pos="4677"/>
        <w:tab w:val="right" w:pos="9355"/>
      </w:tabs>
    </w:pPr>
  </w:style>
  <w:style w:type="paragraph" w:styleId="1">
    <w:name w:val="heading 1"/>
    <w:basedOn w:val="a1"/>
    <w:next w:val="a1"/>
    <w:qFormat/>
    <w:pPr>
      <w:keepNext/>
      <w:outlineLvl w:val="0"/>
      <w:jc w:val="center"/>
    </w:pPr>
    <w:rPr>
      <w:b/>
      <w:sz w:val="28"/>
    </w:rPr>
  </w:style>
  <w:style w:type="paragraph" w:customStyle="1" w:styleId="ConsNormal">
    <w:name w:val="ConsNormal"/>
    <w:pPr>
      <w:adjustRightInd/>
      <w:ind w:right="19772" w:firstLine="720"/>
      <w:autoSpaceDE w:val="off"/>
      <w:autoSpaceDN w:val="off"/>
      <w:widowControl w:val="off"/>
    </w:pPr>
    <w:rPr>
      <w:rFonts w:ascii="Arial" w:hAnsi="Arial" w:cs="Arial"/>
    </w:rPr>
  </w:style>
  <w:style w:type="paragraph" w:customStyle="1" w:styleId="ConsPlusNormal">
    <w:name w:val="ConsPlusNormal"/>
    <w:pPr>
      <w:adjustRightInd/>
      <w:autoSpaceDE w:val="off"/>
      <w:autoSpaceDN w:val="off"/>
    </w:pPr>
    <w:rPr>
      <w:sz w:val="28"/>
      <w:szCs w:val="28"/>
    </w:rPr>
  </w:style>
  <w:style w:type="table" w:styleId="afffff5">
    <w:name w:val="Table Grid"/>
    <w:basedOn w:val="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2" Type="http://schemas.openxmlformats.org/officeDocument/2006/relationships/header" Target="header1.xml" /><Relationship Id="rId3" Type="http://schemas.openxmlformats.org/officeDocument/2006/relationships/header" Target="header2.xml" /><Relationship Id="rId4" Type="http://schemas.openxmlformats.org/officeDocument/2006/relationships/footer" Target="footer1.xml" /><Relationship Id="rId1" Type="http://schemas.openxmlformats.org/officeDocument/2006/relationships/image" Target="media/image1.png" /><Relationship Id="rId5" Type="http://schemas.openxmlformats.org/officeDocument/2006/relationships/styles" Target="styles.xml" /><Relationship Id="rId6" Type="http://schemas.openxmlformats.org/officeDocument/2006/relationships/settings" Target="settings.xml" /><Relationship Id="rId7" Type="http://schemas.openxmlformats.org/officeDocument/2006/relationships/fontTable" Target="fontTable.xml" /><Relationship Id="rId8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Администрация ЗАТО Северск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V. Tanaseychuk</dc:creator>
  <cp:keywords/>
  <dc:description/>
  <cp:lastModifiedBy>Admin</cp:lastModifiedBy>
  <cp:revision>1</cp:revision>
  <dcterms:created xsi:type="dcterms:W3CDTF">2024-10-16T01:57:00Z</dcterms:created>
  <dcterms:modified xsi:type="dcterms:W3CDTF">2024-11-26T15:09:54Z</dcterms:modified>
  <cp:lastPrinted>2024-10-15T02:21:00Z</cp:lastPrinted>
  <cp:version>0900.0000.01</cp:version>
</cp:coreProperties>
</file>