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E42" w:rsidRDefault="003B2E42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B2E42" w:rsidRDefault="003B2E42">
      <w:pPr>
        <w:pStyle w:val="ConsPlusNormal"/>
        <w:jc w:val="both"/>
        <w:outlineLvl w:val="0"/>
      </w:pPr>
    </w:p>
    <w:p w:rsidR="003B2E42" w:rsidRDefault="003B2E42">
      <w:pPr>
        <w:pStyle w:val="ConsPlusTitle"/>
        <w:jc w:val="center"/>
        <w:outlineLvl w:val="0"/>
      </w:pPr>
      <w:r>
        <w:t>ТОМСКАЯ ОБЛАСТЬ</w:t>
      </w:r>
    </w:p>
    <w:p w:rsidR="003B2E42" w:rsidRDefault="003B2E42">
      <w:pPr>
        <w:pStyle w:val="ConsPlusTitle"/>
        <w:jc w:val="center"/>
      </w:pPr>
      <w:r>
        <w:t>ГОРОДСКОЙ ОКРУГ</w:t>
      </w:r>
    </w:p>
    <w:p w:rsidR="003B2E42" w:rsidRDefault="003B2E42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3B2E42" w:rsidRDefault="003B2E42">
      <w:pPr>
        <w:pStyle w:val="ConsPlusTitle"/>
        <w:jc w:val="center"/>
      </w:pPr>
      <w:r>
        <w:t>СЕВЕРСК</w:t>
      </w:r>
    </w:p>
    <w:p w:rsidR="003B2E42" w:rsidRDefault="003B2E42">
      <w:pPr>
        <w:pStyle w:val="ConsPlusTitle"/>
        <w:jc w:val="center"/>
      </w:pPr>
    </w:p>
    <w:p w:rsidR="003B2E42" w:rsidRDefault="003B2E42">
      <w:pPr>
        <w:pStyle w:val="ConsPlusTitle"/>
        <w:jc w:val="center"/>
      </w:pPr>
      <w:r>
        <w:t>АДМИНИСТРАЦИЯ</w:t>
      </w:r>
    </w:p>
    <w:p w:rsidR="003B2E42" w:rsidRDefault="003B2E42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3B2E42" w:rsidRDefault="003B2E42">
      <w:pPr>
        <w:pStyle w:val="ConsPlusTitle"/>
        <w:jc w:val="center"/>
      </w:pPr>
      <w:r>
        <w:t>СЕВЕРСК</w:t>
      </w:r>
    </w:p>
    <w:p w:rsidR="003B2E42" w:rsidRDefault="003B2E42">
      <w:pPr>
        <w:pStyle w:val="ConsPlusTitle"/>
        <w:jc w:val="center"/>
      </w:pPr>
    </w:p>
    <w:p w:rsidR="003B2E42" w:rsidRDefault="003B2E42">
      <w:pPr>
        <w:pStyle w:val="ConsPlusTitle"/>
        <w:jc w:val="center"/>
      </w:pPr>
      <w:r>
        <w:t>ПОСТАНОВЛЕНИЕ</w:t>
      </w:r>
    </w:p>
    <w:p w:rsidR="003B2E42" w:rsidRDefault="003B2E42">
      <w:pPr>
        <w:pStyle w:val="ConsPlusTitle"/>
        <w:jc w:val="center"/>
      </w:pPr>
      <w:r>
        <w:t>от 23 мая 2025 г. N 1240-па</w:t>
      </w:r>
    </w:p>
    <w:p w:rsidR="003B2E42" w:rsidRDefault="003B2E42">
      <w:pPr>
        <w:pStyle w:val="ConsPlusTitle"/>
        <w:jc w:val="center"/>
      </w:pPr>
    </w:p>
    <w:p w:rsidR="003B2E42" w:rsidRDefault="003B2E42">
      <w:pPr>
        <w:pStyle w:val="ConsPlusTitle"/>
        <w:jc w:val="center"/>
      </w:pPr>
      <w:r>
        <w:t>ОБ УТВЕРЖДЕНИИ ПОРЯДКА РАЗРАБОТКИ ПРОГНОЗА</w:t>
      </w:r>
    </w:p>
    <w:p w:rsidR="003B2E42" w:rsidRDefault="003B2E42">
      <w:pPr>
        <w:pStyle w:val="ConsPlusTitle"/>
        <w:jc w:val="center"/>
      </w:pPr>
      <w:r>
        <w:t>СОЦИАЛЬНО-ЭКОНОМИЧЕСКОГО РАЗВИТИЯ ГОРОДСКОГО ОКРУГА</w:t>
      </w:r>
    </w:p>
    <w:p w:rsidR="003B2E42" w:rsidRDefault="003B2E42">
      <w:pPr>
        <w:pStyle w:val="ConsPlusTitle"/>
        <w:jc w:val="center"/>
      </w:pPr>
      <w:r>
        <w:t>ЗАТО СЕВЕРСК ТОМСКОЙ ОБЛАСТИ НА ДОЛГОСРОЧНЫЙ ПЕРИОД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173</w:t>
        </w:r>
      </w:hyperlink>
      <w:r>
        <w:t xml:space="preserve"> Бюджетного кодекса Российской Федерации,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28 июня 2014 года N 172-ФЗ "О стратегическом планировании в Российской Федерации", </w:t>
      </w:r>
      <w:hyperlink r:id="rId7">
        <w:r>
          <w:rPr>
            <w:color w:val="0000FF"/>
          </w:rPr>
          <w:t>решением</w:t>
        </w:r>
      </w:hyperlink>
      <w:r>
        <w:t xml:space="preserve"> Думы ЗАТО Северск от 29.03.2018 N 36/3 "Об утверждении Положения о стратегическом планировании в ЗАТО Северск Томской области" постановляет: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bookmarkStart w:id="0" w:name="_GoBack"/>
      <w:r>
        <w:rPr>
          <w:color w:val="0000FF"/>
        </w:rPr>
        <w:fldChar w:fldCharType="begin"/>
      </w:r>
      <w:r>
        <w:rPr>
          <w:color w:val="0000FF"/>
        </w:rPr>
        <w:instrText xml:space="preserve"> HYPERLINK \l "P35" \h </w:instrText>
      </w:r>
      <w:r>
        <w:rPr>
          <w:color w:val="0000FF"/>
        </w:rPr>
        <w:fldChar w:fldCharType="separate"/>
      </w:r>
      <w:r>
        <w:rPr>
          <w:color w:val="0000FF"/>
        </w:rPr>
        <w:t>Порядок</w:t>
      </w:r>
      <w:r>
        <w:rPr>
          <w:color w:val="0000FF"/>
        </w:rPr>
        <w:fldChar w:fldCharType="end"/>
      </w:r>
      <w:r>
        <w:t xml:space="preserve"> разработки прогноза социально-экономического развития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долгосрочный период</w:t>
      </w:r>
      <w:bookmarkEnd w:id="0"/>
      <w:r>
        <w:t>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2. Определить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структурным подразделением Администрации ЗАТО Северск, ответственным за разработку прогноза социально-экономического развития городского округа ЗАТО Северск Томской области на долгосрочный период.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3B2E42" w:rsidRDefault="003B2E42">
      <w:pPr>
        <w:pStyle w:val="ConsPlusNormal"/>
        <w:jc w:val="right"/>
      </w:pPr>
      <w:r>
        <w:t>Н.В.ДИДЕНКО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right"/>
        <w:outlineLvl w:val="0"/>
      </w:pPr>
      <w:r>
        <w:t>Утвержден</w:t>
      </w:r>
    </w:p>
    <w:p w:rsidR="003B2E42" w:rsidRDefault="003B2E42">
      <w:pPr>
        <w:pStyle w:val="ConsPlusNormal"/>
        <w:jc w:val="right"/>
      </w:pPr>
      <w:r>
        <w:t>постановлением</w:t>
      </w:r>
    </w:p>
    <w:p w:rsidR="003B2E42" w:rsidRDefault="003B2E42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B2E42" w:rsidRDefault="003B2E42">
      <w:pPr>
        <w:pStyle w:val="ConsPlusNormal"/>
        <w:jc w:val="right"/>
      </w:pPr>
      <w:r>
        <w:t>от 23.05.2025 N 1240-па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Title"/>
        <w:jc w:val="center"/>
      </w:pPr>
      <w:bookmarkStart w:id="1" w:name="P35"/>
      <w:bookmarkEnd w:id="1"/>
      <w:r>
        <w:t>ПОРЯДОК</w:t>
      </w:r>
    </w:p>
    <w:p w:rsidR="003B2E42" w:rsidRDefault="003B2E42">
      <w:pPr>
        <w:pStyle w:val="ConsPlusTitle"/>
        <w:jc w:val="center"/>
      </w:pPr>
      <w:r>
        <w:t>РАЗРАБОТКИ ПРОГНОЗА СОЦИАЛЬНО-ЭКОНОМИЧЕСКОГО РАЗВИТИЯ</w:t>
      </w:r>
    </w:p>
    <w:p w:rsidR="003B2E42" w:rsidRDefault="003B2E42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3B2E42" w:rsidRDefault="003B2E42">
      <w:pPr>
        <w:pStyle w:val="ConsPlusTitle"/>
        <w:jc w:val="center"/>
      </w:pPr>
      <w:r>
        <w:t>НА ДОЛГОСРОЧНЫЙ ПЕРИОД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Title"/>
        <w:jc w:val="center"/>
        <w:outlineLvl w:val="1"/>
      </w:pPr>
      <w:r>
        <w:t>I. ОБЩИЕ ПОЛОЖЕНИЯ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ind w:firstLine="540"/>
        <w:jc w:val="both"/>
      </w:pPr>
      <w:r>
        <w:t xml:space="preserve">1. Порядок разработки прогноза социально-экономического развития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долгосрочный период (далее - Порядок) устанавливает последовательность разработки прогноза социально-экономического развития ЗАТО Северск на долгосрочный период (далее - Прогноз), содержание Прогноза, сроки его разработки, а также регламентирует взаимодействие участников разработки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2. Основные понятия, используемые в настоящем Порядке: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1) прогноз - документ стратегического планирования, содержащий систему научно обоснованных представлений о направлениях и об ожидаемых результатах социально-экономического развития муниципального образования на долгосрочную перспективу;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2) прогнозирование - деятельность участников разработки Прогноза по сбору, анализу, разработке обоснованных представлений о направлениях, результатах и показателях социально-экономического </w:t>
      </w:r>
      <w:proofErr w:type="gramStart"/>
      <w:r>
        <w:t>развития</w:t>
      </w:r>
      <w:proofErr w:type="gramEnd"/>
      <w:r>
        <w:t xml:space="preserve"> ЗАТО Северск;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3) основные параметры Прогноза - макроэкономические показатели социально-экономического </w:t>
      </w:r>
      <w:proofErr w:type="gramStart"/>
      <w:r>
        <w:t>развития</w:t>
      </w:r>
      <w:proofErr w:type="gramEnd"/>
      <w:r>
        <w:t xml:space="preserve"> ЗАТО Северск;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4) показатель социально-экономического </w:t>
      </w:r>
      <w:proofErr w:type="gramStart"/>
      <w:r>
        <w:t>развития</w:t>
      </w:r>
      <w:proofErr w:type="gramEnd"/>
      <w:r>
        <w:t xml:space="preserve"> ЗАТО Северск - фактически достигнутое либо предполагаемое в будущем состояние вида экономической деятельности, сферы, сектора экономики социального развития ЗАТО Северск, которое имеет количественные и (или) качественные характеристики;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5) текущий год - год, в котором осуществляется разработка Прогноза;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6) отчетный год - календарный год с 1 января по 31 декабря включительно, предшествующий текущему году;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7) прогнозный период - годы, следующие за текущим годом;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8) участники разработки Прогноза - органы и структурные подразделения </w:t>
      </w:r>
      <w:proofErr w:type="gramStart"/>
      <w:r>
        <w:t>Администрации</w:t>
      </w:r>
      <w:proofErr w:type="gramEnd"/>
      <w:r>
        <w:t xml:space="preserve"> ЗАТО Северск, предоставляющие сведения для разработки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3. К разработке Прогноза могут привлекаться территориальные органы (подразделения) федеральных органов исполнительной власти, исполнительные органы Томской области, коммерческие и некоммерческие организации и другие субъекты, осуществляющие деятельность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4. Прогноз разрабатывается в целях определения проблем, количественных параметров социально-экономического </w:t>
      </w:r>
      <w:proofErr w:type="gramStart"/>
      <w:r>
        <w:t>развития</w:t>
      </w:r>
      <w:proofErr w:type="gramEnd"/>
      <w:r>
        <w:t xml:space="preserve"> ЗАТО Северск, а также перспектив развития ЗАТО Северск на долгосрочный период.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lastRenderedPageBreak/>
        <w:t>5. Прогноз разрабатывается раз в шесть лет сроком на двенадцать и более лет в соответствии с настоящим Порядком исходя из анализа развития секторов экономики и социальной сферы, демографической ситуации, анализа внутренних и внешних факторов, оказывающих влияние на динамику социально-экономических процессов.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6. Исходной базой для разработки Прогноза являются: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1) итоги социально-экономического </w:t>
      </w:r>
      <w:proofErr w:type="gramStart"/>
      <w:r>
        <w:t>развития</w:t>
      </w:r>
      <w:proofErr w:type="gramEnd"/>
      <w:r>
        <w:t xml:space="preserve"> ЗАТО Северск за отчетный год и оценка текущего состояния экономики и социальной сферы;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2) сценарные условия и основные параметры прогнозов социально-экономического развития Российской Федерации на среднесрочный и долгосрочный периоды;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3) стратегия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4) основные статистические макроэкономические показатели социально-экономического </w:t>
      </w:r>
      <w:proofErr w:type="gramStart"/>
      <w:r>
        <w:t>развития</w:t>
      </w:r>
      <w:proofErr w:type="gramEnd"/>
      <w:r>
        <w:t xml:space="preserve"> ЗАТО Северск;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5) сведения, предоставляемые участниками разработки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7. Участники разработки Прогноза обязаны предоставлять полную информацию в соответствии с запросом, направленным Комитетом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Title"/>
        <w:jc w:val="center"/>
        <w:outlineLvl w:val="1"/>
      </w:pPr>
      <w:r>
        <w:t>II. РАЗРАБОТКА И КОРРЕКТИРОВКА ПРОГНОЗА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ind w:firstLine="540"/>
        <w:jc w:val="both"/>
      </w:pPr>
      <w:r>
        <w:t>8. Разработка Прогноза осуществляется в двух вариантах с учетом изменения внешних и внутренних условий и факторов экономического развития территории, основных параметров прогноза социально-экономического развития Российской Федерации на долгосрочный период, прогноза социально-экономического развития Томской области на долгосрочный период.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Первый вариант (базовый) исходит из возможности сохранения позитивных тенденций развития внешних и внутренних условий функционирования экономики и социальной сферы и ориентирован на улучшение социально-экономической ситуации.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Второй вариант (консервативный) исходит из менее благоприятного развития внешних и внутренних условий функционирования экономики и социальной сферы.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9. Прогноз разрабатывается по определенным </w:t>
      </w:r>
      <w:hyperlink w:anchor="P93">
        <w:r>
          <w:rPr>
            <w:color w:val="0000FF"/>
          </w:rPr>
          <w:t>показателям</w:t>
        </w:r>
      </w:hyperlink>
      <w:r>
        <w:t xml:space="preserve"> в виде таблицы в соответствии с установленной формой (форма прилагается).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При разработке Прогноза формируется пояснительная записка к нему. Пояснительная записка к Прогнозу содержит анализ складывающейся ситуации, информацию, раскрывающую факторы, заложенные в основу формирования основных тенденций социально-экономического </w:t>
      </w:r>
      <w:proofErr w:type="gramStart"/>
      <w:r>
        <w:t>развития</w:t>
      </w:r>
      <w:proofErr w:type="gramEnd"/>
      <w:r>
        <w:t xml:space="preserve"> ЗАТО Северск на долгосрочную перспективу.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10. Подведение итогов социально-экономического </w:t>
      </w:r>
      <w:proofErr w:type="gramStart"/>
      <w:r>
        <w:t>развития</w:t>
      </w:r>
      <w:proofErr w:type="gramEnd"/>
      <w:r>
        <w:t xml:space="preserve"> ЗАТО Северск за отчетный год (с отражением ключевых проблем, изменений основных показателей и причин, повлиявших на эти изменения), оценку социально-экономического развития ЗАТО Северск в текущем году и формирование Прогноза осуществляет Комитет экономического развития Администрации ЗАТО Северск с учетом сведений, предоставленных участниками разработки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11. Прогноз разрабатывается в один этап после уточнения предварительных параметров и формирования уточненного прогноза социально-экономического развития на среднесрочный период, учитывающего оценку социально-экономического </w:t>
      </w:r>
      <w:proofErr w:type="gramStart"/>
      <w:r>
        <w:t>развития</w:t>
      </w:r>
      <w:proofErr w:type="gramEnd"/>
      <w:r>
        <w:t xml:space="preserve"> ЗАТО Северск в текущем году, основные параметры прогноза социально-экономического развития Российской Федерации на </w:t>
      </w:r>
      <w:r>
        <w:lastRenderedPageBreak/>
        <w:t>среднесрочный период.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12. Проведение процедуры общественного обсуждения проекта Прогноза (далее - общественное обсуждение) обеспечивается Комитетом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и осуществляется в форме открытого размещения проекта Прогноза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13. Общественное обсуждение проводится в течение 7 календарных дней со дня размещения на официальном сайте проекта Прогноза. Результаты проведения общественного обсуждения носят рекомендательный характер.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14. По истечении срока проведения общественного обсуждения проекта Прогноза Комитетом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принимается решение о целесообразности (возможности) изменения проекта Прогноза с учетом поступивших замечаний и (или) предложений.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15. Прогноз одобряется распоряжением </w:t>
      </w:r>
      <w:proofErr w:type="gramStart"/>
      <w:r>
        <w:t>Администрации</w:t>
      </w:r>
      <w:proofErr w:type="gramEnd"/>
      <w:r>
        <w:t xml:space="preserve"> ЗАТО Северск.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представляет Прогноз на одобрение Мэру ЗАТО Северск до 20 декабря года разработки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После принятия распоряжения </w:t>
      </w:r>
      <w:proofErr w:type="gramStart"/>
      <w:r>
        <w:t>Администрации</w:t>
      </w:r>
      <w:proofErr w:type="gramEnd"/>
      <w:r>
        <w:t xml:space="preserve"> ЗАТО Северск об одобрении Прогноза Комитет экономического развития Администрации ЗАТО Северск направляет Прогноз в течение 3 рабочих дней в Финансовое управление Администрации ЗАТО Северск.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16.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в течение 10 дней со дня одобрения размещает Прогноз на официальном сайте Администрации ЗАТО Северск в информационно-телекоммуникационной сети "Интернет" (https://зато-северск.рф) и направляет его в федеральный реестр документов стратегического планирования на государственную регистрацию.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17. В случае существенных отклонений параметров прогноза социально-экономического </w:t>
      </w:r>
      <w:proofErr w:type="gramStart"/>
      <w:r>
        <w:t>развития</w:t>
      </w:r>
      <w:proofErr w:type="gramEnd"/>
      <w:r>
        <w:t xml:space="preserve"> ЗАТО Северск на среднесрочный период от одобренных в Прогнозе, выявленных при формировании уточненного прогноза социально-экономического развития на среднесрочный период, принимается решение о корректировке Прогноза.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18. Решение о корректировке Прогноза принимается в форме распоряжения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>Корректировка Прогноза осуществляется в соответствии с настоящим Порядком без изменения периода его действия.</w:t>
      </w:r>
    </w:p>
    <w:p w:rsidR="003B2E42" w:rsidRDefault="003B2E42">
      <w:pPr>
        <w:pStyle w:val="ConsPlusNormal"/>
        <w:spacing w:before="220"/>
        <w:ind w:firstLine="540"/>
        <w:jc w:val="both"/>
      </w:pPr>
      <w:r>
        <w:t xml:space="preserve">19. Корректировка долгосрочного прогноза осуществляется при разработке, корректировке или актуализации стратегии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области.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both"/>
      </w:pPr>
    </w:p>
    <w:p w:rsidR="003B2E42" w:rsidRDefault="003B2E42">
      <w:pPr>
        <w:rPr>
          <w:rFonts w:ascii="Calibri" w:eastAsia="Times New Roman" w:hAnsi="Calibri" w:cs="Calibri"/>
          <w:szCs w:val="20"/>
          <w:lang w:eastAsia="ru-RU"/>
        </w:rPr>
        <w:sectPr w:rsidR="003B2E42" w:rsidSect="008E78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2E42" w:rsidRDefault="003B2E42">
      <w:pPr>
        <w:pStyle w:val="ConsPlusNormal"/>
        <w:jc w:val="right"/>
        <w:outlineLvl w:val="1"/>
      </w:pPr>
      <w:r>
        <w:lastRenderedPageBreak/>
        <w:t>Приложение</w:t>
      </w:r>
    </w:p>
    <w:p w:rsidR="003B2E42" w:rsidRDefault="003B2E42">
      <w:pPr>
        <w:pStyle w:val="ConsPlusNormal"/>
        <w:jc w:val="right"/>
      </w:pPr>
      <w:r>
        <w:t>к Порядку</w:t>
      </w:r>
    </w:p>
    <w:p w:rsidR="003B2E42" w:rsidRDefault="003B2E42">
      <w:pPr>
        <w:pStyle w:val="ConsPlusNormal"/>
        <w:jc w:val="right"/>
      </w:pPr>
      <w:r>
        <w:t>разработки прогноза социально-экономического развития</w:t>
      </w:r>
    </w:p>
    <w:p w:rsidR="003B2E42" w:rsidRDefault="003B2E42">
      <w:pPr>
        <w:pStyle w:val="ConsPlusNormal"/>
        <w:jc w:val="right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3B2E42" w:rsidRDefault="003B2E42">
      <w:pPr>
        <w:pStyle w:val="ConsPlusNormal"/>
        <w:jc w:val="right"/>
      </w:pPr>
      <w:r>
        <w:t>на долгосрочный период</w:t>
      </w:r>
    </w:p>
    <w:p w:rsidR="003B2E42" w:rsidRDefault="003B2E42">
      <w:pPr>
        <w:pStyle w:val="ConsPlusNormal"/>
        <w:jc w:val="both"/>
      </w:pPr>
    </w:p>
    <w:p w:rsidR="003B2E42" w:rsidRDefault="003B2E42">
      <w:pPr>
        <w:pStyle w:val="ConsPlusNormal"/>
        <w:jc w:val="center"/>
      </w:pPr>
      <w:bookmarkStart w:id="2" w:name="P93"/>
      <w:bookmarkEnd w:id="2"/>
      <w:r>
        <w:t>ОСНОВНЫЕ ПОКАЗАТЕЛИ</w:t>
      </w:r>
    </w:p>
    <w:tbl>
      <w:tblPr>
        <w:tblpPr w:leftFromText="180" w:rightFromText="180" w:vertAnchor="text" w:horzAnchor="margin" w:tblpY="831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552"/>
        <w:gridCol w:w="1251"/>
        <w:gridCol w:w="1144"/>
        <w:gridCol w:w="1134"/>
        <w:gridCol w:w="1007"/>
        <w:gridCol w:w="1276"/>
        <w:gridCol w:w="1275"/>
        <w:gridCol w:w="1276"/>
        <w:gridCol w:w="1276"/>
        <w:gridCol w:w="850"/>
        <w:gridCol w:w="1276"/>
      </w:tblGrid>
      <w:tr w:rsidR="003B2E42" w:rsidTr="003B2E42">
        <w:tc>
          <w:tcPr>
            <w:tcW w:w="562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52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51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44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Варианты прогноза</w:t>
            </w:r>
          </w:p>
        </w:tc>
        <w:tc>
          <w:tcPr>
            <w:tcW w:w="1134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007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Оценка текущего года</w:t>
            </w:r>
          </w:p>
        </w:tc>
        <w:tc>
          <w:tcPr>
            <w:tcW w:w="7229" w:type="dxa"/>
            <w:gridSpan w:val="6"/>
          </w:tcPr>
          <w:p w:rsidR="003B2E42" w:rsidRDefault="003B2E42" w:rsidP="003B2E42">
            <w:pPr>
              <w:pStyle w:val="ConsPlusNormal"/>
              <w:jc w:val="center"/>
            </w:pPr>
            <w:r>
              <w:t>Прогноз на 12 последующих лет</w:t>
            </w: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144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134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1-й прогнозный год</w:t>
            </w: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2-й прогнозный год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3-й прогнозный год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4-й прогнозный год</w:t>
            </w: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12-й прогнозный год</w:t>
            </w:r>
          </w:p>
        </w:tc>
      </w:tr>
      <w:tr w:rsidR="003B2E42" w:rsidTr="003B2E42">
        <w:tc>
          <w:tcPr>
            <w:tcW w:w="562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51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11 - 17</w:t>
            </w: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18</w:t>
            </w: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 w:rsidP="003B2E42">
            <w:pPr>
              <w:pStyle w:val="ConsPlusNormal"/>
              <w:jc w:val="center"/>
            </w:pPr>
            <w:r>
              <w:t>Демография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552" w:type="dxa"/>
            <w:vMerge w:val="restart"/>
          </w:tcPr>
          <w:p w:rsidR="003B2E42" w:rsidRDefault="003B2E42" w:rsidP="003B2E42">
            <w:pPr>
              <w:pStyle w:val="ConsPlusNormal"/>
            </w:pPr>
            <w:r>
              <w:t>Численность постоянного населения (среднегодовая)</w:t>
            </w:r>
          </w:p>
        </w:tc>
        <w:tc>
          <w:tcPr>
            <w:tcW w:w="1251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тыс. человек</w:t>
            </w: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552" w:type="dxa"/>
            <w:vMerge w:val="restart"/>
          </w:tcPr>
          <w:p w:rsidR="003B2E42" w:rsidRDefault="003B2E42" w:rsidP="003B2E42">
            <w:pPr>
              <w:pStyle w:val="ConsPlusNormal"/>
            </w:pPr>
            <w:r>
              <w:t>Коэффициент естественного прироста (- убыли)</w:t>
            </w:r>
          </w:p>
        </w:tc>
        <w:tc>
          <w:tcPr>
            <w:tcW w:w="1251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человек на 1000 населения</w:t>
            </w: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552" w:type="dxa"/>
            <w:vMerge w:val="restart"/>
          </w:tcPr>
          <w:p w:rsidR="003B2E42" w:rsidRDefault="003B2E42" w:rsidP="003B2E42">
            <w:pPr>
              <w:pStyle w:val="ConsPlusNormal"/>
            </w:pPr>
            <w:r>
              <w:t>Коэффициент смертности</w:t>
            </w:r>
          </w:p>
        </w:tc>
        <w:tc>
          <w:tcPr>
            <w:tcW w:w="1251" w:type="dxa"/>
            <w:vMerge w:val="restart"/>
          </w:tcPr>
          <w:p w:rsidR="003B2E42" w:rsidRDefault="003B2E42" w:rsidP="003B2E42">
            <w:pPr>
              <w:pStyle w:val="ConsPlusNormal"/>
              <w:jc w:val="center"/>
            </w:pPr>
            <w:r>
              <w:t>человек на 1000 населения</w:t>
            </w: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 w:rsidP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 w:rsidP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 w:rsidP="003B2E42">
            <w:pPr>
              <w:pStyle w:val="ConsPlusNormal"/>
            </w:pPr>
          </w:p>
        </w:tc>
      </w:tr>
    </w:tbl>
    <w:p w:rsidR="003B2E42" w:rsidRDefault="003B2E42">
      <w:pPr>
        <w:pStyle w:val="ConsPlusNormal"/>
        <w:jc w:val="center"/>
      </w:pPr>
      <w:r>
        <w:t>прогноза социально-экономического развития городского округа</w:t>
      </w:r>
    </w:p>
    <w:p w:rsidR="003B2E42" w:rsidRDefault="003B2E42" w:rsidP="003B2E42">
      <w:pPr>
        <w:pStyle w:val="ConsPlusNormal"/>
        <w:jc w:val="center"/>
        <w:sectPr w:rsidR="003B2E42" w:rsidSect="003B2E4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t>ЗАТО Северск Томской области на долгосрочный период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552"/>
        <w:gridCol w:w="1251"/>
        <w:gridCol w:w="1144"/>
        <w:gridCol w:w="1134"/>
        <w:gridCol w:w="1007"/>
        <w:gridCol w:w="1276"/>
        <w:gridCol w:w="1275"/>
        <w:gridCol w:w="1276"/>
        <w:gridCol w:w="1276"/>
        <w:gridCol w:w="850"/>
        <w:gridCol w:w="1276"/>
      </w:tblGrid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Промышленное производство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Объем отгруженных товаров собственного производства, выполненных работ и услуг собственными силами (по видам деятельности, относящимся к промышленному производству) в ценах соответствующих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Темп роста в сопоставимых ценах,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добыча полезных ископаемых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обрабатывающие производства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водоснабжение; водоотведение, организация сбора и </w:t>
            </w:r>
            <w:r>
              <w:lastRenderedPageBreak/>
              <w:t>утилизации отходов, деятельность по ликвидации загрязнений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Строительная деятельность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Объем выполненных работ по виду деятельности "строительство" в ценах соответствующих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Темп роста в действующих ценах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Ввод в действие жилых домов,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тыс. кв. м общей площади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объектов индивидуального жилищного строительства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тыс. кв. м общей площади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Транспорт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Протяженность автомобильных дорог общего пользования местного значения с твердым покрытием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Удельный вес </w:t>
            </w:r>
            <w:r>
              <w:lastRenderedPageBreak/>
              <w:t>автомобильных дорог с твердым покрытием в общей протяженности автомобильных дорог общего пользования местного значения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Инвестиционная деятельность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Объем инвестиций в основной капитал за счет всех источников финансирования в ценах соответствующих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Темп роста в сопоставимых ценах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</w:tcPr>
          <w:p w:rsidR="003B2E42" w:rsidRDefault="003B2E42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552" w:type="dxa"/>
          </w:tcPr>
          <w:p w:rsidR="003B2E42" w:rsidRDefault="003B2E42">
            <w:pPr>
              <w:pStyle w:val="ConsPlusNormal"/>
            </w:pPr>
            <w:r>
              <w:t>Инвестиции в основной капитал по источникам финансирования:</w:t>
            </w:r>
          </w:p>
        </w:tc>
        <w:tc>
          <w:tcPr>
            <w:tcW w:w="1251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13.1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собственные средства организаций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13.2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привлеченные средства,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13.2.1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бюджетные средства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Потребительский рынок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Оборот розничной торговли в ценах соответствующих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Темп роста в сопоставимых ценах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Объем платных услуг населению в ценах соответствующих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Темп роста в сопоставимых ценах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Малое и среднее предпринимательство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Число малых и средних предприятий, включая </w:t>
            </w:r>
            <w:proofErr w:type="spellStart"/>
            <w:r>
              <w:t>микропредприятия</w:t>
            </w:r>
            <w:proofErr w:type="spellEnd"/>
            <w:r>
              <w:t xml:space="preserve"> (на конец года)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Число индивидуальных предпринимателей (на конец года)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Среднесписочная численность работников малых и средних предприятий, включая </w:t>
            </w:r>
            <w:proofErr w:type="spellStart"/>
            <w:r>
              <w:lastRenderedPageBreak/>
              <w:t>микропредприятия</w:t>
            </w:r>
            <w:proofErr w:type="spellEnd"/>
            <w:r>
              <w:t xml:space="preserve"> (без внешних совместителей)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тыс. 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 xml:space="preserve">в % к </w:t>
            </w:r>
            <w:r>
              <w:lastRenderedPageBreak/>
              <w:t>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Рынок труда и занятость населения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Численность занятых в экономике (среднегодовая)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тыс. 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Среднесписочная численность работников списочного состава </w:t>
            </w:r>
            <w:proofErr w:type="gramStart"/>
            <w:r>
              <w:t>организаций</w:t>
            </w:r>
            <w:proofErr w:type="gramEnd"/>
            <w:r>
              <w:t xml:space="preserve"> ЗАТО Северск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тыс. 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Уровень зарегистрированной безработицы </w:t>
            </w:r>
            <w:proofErr w:type="gramStart"/>
            <w:r>
              <w:t>в</w:t>
            </w:r>
            <w:proofErr w:type="gramEnd"/>
            <w:r>
              <w:t xml:space="preserve"> ЗАТО Северск на конец года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Уровень жизни населения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Фонд начисленной заработной платы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Среднемесячная начисленная заработная плата одного работника списочного состава организаций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в % к 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 xml:space="preserve">Реальная заработная </w:t>
            </w:r>
            <w:r>
              <w:lastRenderedPageBreak/>
              <w:t>плата работников списочного состава организаций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 xml:space="preserve">в % к </w:t>
            </w:r>
            <w:r>
              <w:lastRenderedPageBreak/>
              <w:t>предыдущему году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14879" w:type="dxa"/>
            <w:gridSpan w:val="12"/>
          </w:tcPr>
          <w:p w:rsidR="003B2E42" w:rsidRDefault="003B2E42">
            <w:pPr>
              <w:pStyle w:val="ConsPlusNormal"/>
              <w:jc w:val="center"/>
            </w:pPr>
            <w:r>
              <w:t>Социальная сфера</w:t>
            </w: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Численность детей, посещающих образовательные организации, оказывающие дошкольные образовательные услуги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Численность обучающихся муниципальных общеобразовательных организаций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Доля населения, систематически занимающегося физической культурой и спортом, от численности населения в возрасте 3 - 79 лет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Уровень обеспеченности населения спортивными сооружениями, единовременная пропускная способность спортивных объектов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lastRenderedPageBreak/>
              <w:t>31.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Уровень обеспеченности клубами и учреждениями клубного типа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Уровень обеспеченности библиотеками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2552" w:type="dxa"/>
            <w:vMerge w:val="restart"/>
          </w:tcPr>
          <w:p w:rsidR="003B2E42" w:rsidRDefault="003B2E42">
            <w:pPr>
              <w:pStyle w:val="ConsPlusNormal"/>
            </w:pPr>
            <w:r>
              <w:t>Уровень обеспеченности парками культуры и отдыха</w:t>
            </w:r>
          </w:p>
        </w:tc>
        <w:tc>
          <w:tcPr>
            <w:tcW w:w="1251" w:type="dxa"/>
            <w:vMerge w:val="restart"/>
          </w:tcPr>
          <w:p w:rsidR="003B2E42" w:rsidRDefault="003B2E42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  <w:tr w:rsidR="003B2E42" w:rsidTr="003B2E42">
        <w:tc>
          <w:tcPr>
            <w:tcW w:w="56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2552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251" w:type="dxa"/>
            <w:vMerge/>
          </w:tcPr>
          <w:p w:rsidR="003B2E42" w:rsidRDefault="003B2E42">
            <w:pPr>
              <w:pStyle w:val="ConsPlusNormal"/>
            </w:pPr>
          </w:p>
        </w:tc>
        <w:tc>
          <w:tcPr>
            <w:tcW w:w="1144" w:type="dxa"/>
          </w:tcPr>
          <w:p w:rsidR="003B2E42" w:rsidRDefault="003B2E42">
            <w:pPr>
              <w:pStyle w:val="ConsPlusNormal"/>
              <w:jc w:val="center"/>
            </w:pPr>
            <w:r>
              <w:t>II вариант</w:t>
            </w:r>
          </w:p>
        </w:tc>
        <w:tc>
          <w:tcPr>
            <w:tcW w:w="1134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007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5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  <w:tc>
          <w:tcPr>
            <w:tcW w:w="850" w:type="dxa"/>
          </w:tcPr>
          <w:p w:rsidR="003B2E42" w:rsidRDefault="003B2E42">
            <w:pPr>
              <w:pStyle w:val="ConsPlusNormal"/>
            </w:pPr>
          </w:p>
        </w:tc>
        <w:tc>
          <w:tcPr>
            <w:tcW w:w="1276" w:type="dxa"/>
          </w:tcPr>
          <w:p w:rsidR="003B2E42" w:rsidRDefault="003B2E42">
            <w:pPr>
              <w:pStyle w:val="ConsPlusNormal"/>
            </w:pPr>
          </w:p>
        </w:tc>
      </w:tr>
    </w:tbl>
    <w:p w:rsidR="003B2E42" w:rsidRDefault="003B2E42">
      <w:pPr>
        <w:pStyle w:val="ConsPlusNormal"/>
        <w:jc w:val="both"/>
      </w:pPr>
    </w:p>
    <w:sectPr w:rsidR="003B2E42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E42"/>
    <w:rsid w:val="003B2E42"/>
    <w:rsid w:val="00E1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F0BB8-C599-47FB-BE4D-2D36A37C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2E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B2E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B2E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B2E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B2E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B2E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B2E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B2E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266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785" TargetMode="External"/><Relationship Id="rId5" Type="http://schemas.openxmlformats.org/officeDocument/2006/relationships/hyperlink" Target="https://login.consultant.ru/link/?req=doc&amp;base=LAW&amp;n=520154&amp;dst=10263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2340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Горбачевская М.Ю.</cp:lastModifiedBy>
  <cp:revision>1</cp:revision>
  <dcterms:created xsi:type="dcterms:W3CDTF">2025-12-19T02:38:00Z</dcterms:created>
  <dcterms:modified xsi:type="dcterms:W3CDTF">2025-12-19T02:48:00Z</dcterms:modified>
</cp:coreProperties>
</file>