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Северский благотворительный фонд «Победа»</w:t>
      </w:r>
      <w:r>
        <w:rPr>
          <w:rFonts w:ascii="Times New Roman" w:hAnsi="Times New Roman"/>
          <w:b/>
          <w:sz w:val="36"/>
          <w:szCs w:val="36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144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2398"/>
        <w:gridCol w:w="1784"/>
        <w:gridCol w:w="1784"/>
        <w:gridCol w:w="1740"/>
        <w:gridCol w:w="1784"/>
        <w:gridCol w:w="1785"/>
        <w:gridCol w:w="1635"/>
      </w:tblGrid>
      <w:tr>
        <w:tblPrEx/>
        <w:trPr>
          <w:jc w:val="center"/>
          <w:trHeight w:val="572"/>
        </w:trPr>
        <w:tc>
          <w:tcPr>
            <w:tcW w:w="2398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Год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2020 год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2021 год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40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2022 год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2023 год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85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2024 год 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635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2025 год </w:t>
            </w:r>
            <w:r>
              <w:rPr>
                <w:b/>
                <w:bCs/>
                <w:sz w:val="28"/>
                <w:szCs w:val="28"/>
              </w:rPr>
            </w:r>
          </w:p>
        </w:tc>
      </w:tr>
      <w:tr>
        <w:tblPrEx/>
        <w:trPr>
          <w:jc w:val="center"/>
          <w:trHeight w:val="859"/>
        </w:trPr>
        <w:tc>
          <w:tcPr>
            <w:tcW w:w="2398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Сумма</w:t>
            </w:r>
            <w:r>
              <w:rPr>
                <w:b/>
                <w:sz w:val="28"/>
                <w:szCs w:val="28"/>
              </w:rPr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(тыс. руб.)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867,06</w:t>
            </w:r>
            <w:r>
              <w:rPr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362,26</w:t>
            </w:r>
            <w:r>
              <w:rPr>
                <w:sz w:val="28"/>
                <w:szCs w:val="28"/>
              </w:rPr>
            </w:r>
          </w:p>
        </w:tc>
        <w:tc>
          <w:tcPr>
            <w:tcW w:w="1740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267,2</w:t>
            </w:r>
            <w:r>
              <w:rPr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182,79</w:t>
            </w:r>
            <w:r>
              <w:rPr>
                <w:sz w:val="28"/>
                <w:szCs w:val="28"/>
              </w:rPr>
            </w:r>
          </w:p>
        </w:tc>
        <w:tc>
          <w:tcPr>
            <w:tcW w:w="1785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165,00</w:t>
            </w:r>
            <w:r>
              <w:rPr>
                <w:sz w:val="28"/>
                <w:szCs w:val="28"/>
              </w:rPr>
            </w:r>
          </w:p>
        </w:tc>
        <w:tc>
          <w:tcPr>
            <w:tcW w:w="1635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529,32</w:t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jc w:val="center"/>
        </w:trPr>
        <w:tc>
          <w:tcPr>
            <w:tcW w:w="2398" w:type="dxa"/>
            <w:textDirection w:val="lrTb"/>
            <w:noWrap w:val="false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человек, </w:t>
            </w:r>
            <w:r>
              <w:rPr>
                <w:b/>
                <w:sz w:val="28"/>
                <w:szCs w:val="28"/>
              </w:rPr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получивших выплаты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87</w:t>
            </w:r>
            <w:r>
              <w:rPr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33</w:t>
            </w:r>
            <w:r>
              <w:rPr>
                <w:sz w:val="28"/>
                <w:szCs w:val="28"/>
              </w:rPr>
            </w:r>
          </w:p>
        </w:tc>
        <w:tc>
          <w:tcPr>
            <w:tcW w:w="1740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</w:t>
            </w:r>
            <w:r>
              <w:rPr>
                <w:sz w:val="28"/>
                <w:szCs w:val="28"/>
              </w:rPr>
            </w:r>
          </w:p>
        </w:tc>
        <w:tc>
          <w:tcPr>
            <w:tcW w:w="1784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</w:t>
            </w:r>
            <w:r>
              <w:rPr>
                <w:sz w:val="28"/>
                <w:szCs w:val="28"/>
              </w:rPr>
            </w:r>
          </w:p>
        </w:tc>
        <w:tc>
          <w:tcPr>
            <w:tcW w:w="1785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</w:t>
            </w:r>
            <w:r>
              <w:rPr>
                <w:sz w:val="28"/>
                <w:szCs w:val="28"/>
              </w:rPr>
            </w:r>
          </w:p>
        </w:tc>
        <w:tc>
          <w:tcPr>
            <w:tcW w:w="1635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</w:t>
            </w:r>
            <w:r>
              <w:rPr>
                <w:sz w:val="28"/>
                <w:szCs w:val="28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 помощи: денежные выплаты на приобретение бытовой техники и слухового аппарата, на зубопротезирование, на санаторно-курортное лечение, на ремонт квартиры, на реконструкцию могил участников (инвалидов) ВОВ, на бытовые нужды (средства реабилитации).</w:t>
      </w:r>
      <w:r>
        <w:rPr>
          <w:rFonts w:ascii="Times New Roman" w:hAnsi="Times New Roman"/>
          <w:sz w:val="28"/>
          <w:szCs w:val="28"/>
        </w:rPr>
      </w:r>
    </w:p>
    <w:p>
      <w:pPr>
        <w:rPr>
          <w:sz w:val="28"/>
          <w:szCs w:val="28"/>
        </w:rPr>
      </w:pPr>
      <w:r/>
      <w:bookmarkStart w:id="0" w:name="_GoBack"/>
      <w:r/>
      <w:bookmarkEnd w:id="0"/>
      <w:r/>
      <w:r>
        <w:rPr>
          <w:sz w:val="28"/>
          <w:szCs w:val="28"/>
        </w:rPr>
      </w:r>
    </w:p>
    <w:sectPr>
      <w:footnotePr/>
      <w:endnotePr/>
      <w:type w:val="nextPage"/>
      <w:pgSz w:w="16838" w:h="11906" w:orient="landscape"/>
      <w:pgMar w:top="1701" w:right="1134" w:bottom="851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1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1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1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1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1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1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1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1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1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1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19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19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19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19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19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19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19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619" w:default="1">
    <w:name w:val="Default Paragraph Font"/>
    <w:uiPriority w:val="1"/>
    <w:semiHidden/>
    <w:unhideWhenUsed/>
  </w:style>
  <w:style w:type="table" w:styleId="6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13</cp:revision>
  <dcterms:created xsi:type="dcterms:W3CDTF">2022-05-18T03:55:00Z</dcterms:created>
  <dcterms:modified xsi:type="dcterms:W3CDTF">2026-06-16T08:43:54Z</dcterms:modified>
</cp:coreProperties>
</file>