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706"/>
        <w:tblW w:w="99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5522"/>
        <w:gridCol w:w="4470"/>
      </w:tblGrid>
      <w:tr>
        <w:tblPrEx/>
        <w:trPr>
          <w:trHeight w:val="1504"/>
        </w:trPr>
        <w:tc>
          <w:tcPr>
            <w:tcW w:w="5522" w:type="dxa"/>
            <w:textDirection w:val="lrTb"/>
            <w:noWrap w:val="false"/>
          </w:tcPr>
          <w:p>
            <w:pPr>
              <w:pStyle w:val="70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4470" w:type="dxa"/>
            <w:textDirection w:val="lrTb"/>
            <w:noWrap w:val="false"/>
          </w:tcPr>
          <w:p>
            <w:pPr>
              <w:pStyle w:val="703"/>
              <w:ind w:hanging="108"/>
              <w:rPr>
                <w:rFonts w:ascii="Times New Roman" w:hAnsi="Times New Roman" w:cs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УТВЕРЖДЕН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Style w:val="703"/>
              <w:ind w:hanging="108"/>
              <w:rPr>
                <w:rFonts w:ascii="Times New Roman" w:hAnsi="Times New Roman" w:cs="Times New Roman"/>
                <w:sz w:val="16"/>
                <w:szCs w:val="16"/>
              </w:rPr>
              <w:outlineLvl w:val="0"/>
            </w:pP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  <w:p>
            <w:pPr>
              <w:pStyle w:val="703"/>
              <w:ind w:hanging="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постановлением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Style w:val="703"/>
              <w:ind w:hanging="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Style w:val="703"/>
              <w:ind w:hanging="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__17.06.2026_ № _1185-па___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Style w:val="703"/>
              <w:ind w:hanging="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</w:tbl>
    <w:p>
      <w:pPr>
        <w:pStyle w:val="704"/>
        <w:jc w:val="center"/>
        <w:rPr>
          <w:rFonts w:ascii="Times New Roman" w:hAnsi="Times New Roman" w:cs="Times New Roman"/>
          <w:b w:val="0"/>
          <w:sz w:val="16"/>
          <w:szCs w:val="16"/>
        </w:rPr>
      </w:pPr>
      <w:r/>
      <w:bookmarkStart w:id="0" w:name="P52"/>
      <w:r/>
      <w:bookmarkEnd w:id="0"/>
      <w:r/>
      <w:r>
        <w:rPr>
          <w:rFonts w:ascii="Times New Roman" w:hAnsi="Times New Roman" w:cs="Times New Roman"/>
          <w:b w:val="0"/>
          <w:sz w:val="16"/>
          <w:szCs w:val="16"/>
        </w:rPr>
      </w:r>
    </w:p>
    <w:p>
      <w:pPr>
        <w:pStyle w:val="704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ПОРЯДОК</w:t>
      </w:r>
      <w:r>
        <w:rPr>
          <w:rFonts w:ascii="Times New Roman" w:hAnsi="Times New Roman" w:cs="Times New Roman"/>
          <w:b w:val="0"/>
          <w:sz w:val="28"/>
          <w:szCs w:val="28"/>
        </w:rPr>
      </w:r>
    </w:p>
    <w:p>
      <w:pPr>
        <w:pStyle w:val="704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сноса зеленых насаждений и взимания платежей за повреждение</w:t>
      </w:r>
      <w:r>
        <w:rPr>
          <w:rFonts w:ascii="Times New Roman" w:hAnsi="Times New Roman" w:cs="Times New Roman"/>
          <w:b w:val="0"/>
          <w:sz w:val="28"/>
          <w:szCs w:val="28"/>
        </w:rPr>
      </w:r>
    </w:p>
    <w:p>
      <w:pPr>
        <w:pStyle w:val="704"/>
        <w:jc w:val="center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и снос зеленых насаждений на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территории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ЗАТО Северск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r>
    </w:p>
    <w:p>
      <w:pPr>
        <w:pStyle w:val="70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pStyle w:val="703"/>
        <w:ind w:firstLine="709"/>
        <w:jc w:val="both"/>
        <w:tabs>
          <w:tab w:val="left" w:pos="5103" w:leader="none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 Настоящий Порядок разработан в соответствии с Федеральным </w:t>
      </w:r>
      <w:hyperlink r:id="rId11" w:tooltip="https://login.consultant.ru/link/?req=doc&amp;base=LAW&amp;n=481447&amp;dst=100558" w:history="1">
        <w:r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законом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10 января 2002 года № 7-ФЗ «Об охране окружающей среды», </w:t>
      </w:r>
      <w:hyperlink r:id="rId12" w:tooltip="https://login.consultant.ru/link/?req=doc&amp;base=RLAW091&amp;n=171231&amp;dst=100204" w:history="1">
        <w:r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Правилами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благоустройства территории городского округа ЗАТО Северск, утвержденными решением Думы ЗАТО Северск от 01.02.2018 № 34/1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«Об утверждении Правил благоустройства территории городского округа ЗАТО Северск Томской области», действует на территории ЗАТО Северск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обязателен для исполнения всеми юридическими и физическими лицами, в том числе индивидуальными предпринимателями.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 Действие настоящего Порядка не распространяется на зеленые насаждения, размещенные на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землях и (или)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земельных участках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расположенных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территории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ЗАТО Северск, являющихся охранной зоной ЛЭП, газопроводов и иных инженерных сетей и сооружений, а также на зеленые насаждения, произрастающие на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земельных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участках, принадлежащих лицам на праве собственности.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Снос, реконструкция зеленых насаждений, произрастающих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земельном участке естественным образом или образовавшихся в ходе хозяйственной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деятельности после передачи земельного участка в аренду под индивидуальное жилищное строительство, личное подсобное хозяйство,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собственность физическому или юридическому лицу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осуществляются собственником либо арендатором самостоятельно без оформления акта ландшафтной комиссии,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действующей на территории ЗАТО Северск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(далее – ландшафтная комиссия),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разрешения либо ордера на снос и (или) разрешения на пересадку деревьев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кустарников.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 Решение вопросов о сносе зеленых насаждений, о взимании платежей                                  за повреждение и снос зеленых насаждений на территории ЗАТО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Северск,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также подготовка актов о сносе зеленых насаждений относятся к компетенции ландшафтной комиссии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осуществляющей 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вою деятельность в соответствии 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w:tooltip="#P148" w:anchor="P148" w:history="1">
        <w:r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Положением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ландшафтной комиссии, действующей на территории ЗАТО Северск.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Размер возмещения вреда, причиненного окружающей среде при сносе зеленых насаждений, определяется в порядке, предусмотренном Федеральным </w:t>
      </w:r>
      <w:hyperlink r:id="rId13" w:tooltip="https://login.consultant.ru/link/?req=doc&amp;base=LAW&amp;n=481447" w:history="1">
        <w:r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законом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10 января 2002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года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№ 7-ФЗ «Об охране окружающей среды».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4. </w:t>
      </w:r>
      <w:hyperlink w:tooltip="#P148" w:anchor="P148" w:history="1">
        <w:r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Положение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ландшафтной комиссии, действующей на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территории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ЗАТО Северск, и </w:t>
      </w:r>
      <w:hyperlink w:tooltip="#P440" w:anchor="P440" w:history="1">
        <w:r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состав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ландшафтной комиссии утверждаются постановлением Администрации ЗАТО Северск.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 Ландшафтная комиссия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ходе обследования зеленых насаждений определяет их количество, видовой состав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диаметр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качественное состояние, размер вреда окружающей среде в результате сноса зеленых насаждений.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процессе обследования деревья подсчитываются и оцениваются поштучно. Если дерево имеет несколько стволов, то в расчетах компенсационной стоимости учитывается </w:t>
      </w:r>
      <w:r>
        <w:rPr>
          <w:rFonts w:ascii="Times New Roman" w:hAnsi="Times New Roman" w:cs="Times New Roman"/>
          <w:sz w:val="28"/>
          <w:szCs w:val="28"/>
        </w:rPr>
        <w:t xml:space="preserve">один ствол с наибольшим диаметром. Кустарники в группах подсчитываются поштучно. Заросли самосевных деревьев и кустарников (деревь</w:t>
      </w:r>
      <w:r>
        <w:rPr>
          <w:rFonts w:ascii="Times New Roman" w:hAnsi="Times New Roman" w:cs="Times New Roman"/>
          <w:sz w:val="28"/>
          <w:szCs w:val="28"/>
        </w:rPr>
        <w:t xml:space="preserve">ев</w:t>
      </w:r>
      <w:r>
        <w:rPr>
          <w:rFonts w:ascii="Times New Roman" w:hAnsi="Times New Roman" w:cs="Times New Roman"/>
          <w:sz w:val="28"/>
          <w:szCs w:val="28"/>
        </w:rPr>
        <w:t xml:space="preserve"> и (или) кустарник</w:t>
      </w:r>
      <w:r>
        <w:rPr>
          <w:rFonts w:ascii="Times New Roman" w:hAnsi="Times New Roman" w:cs="Times New Roman"/>
          <w:sz w:val="28"/>
          <w:szCs w:val="28"/>
        </w:rPr>
        <w:t xml:space="preserve">ов</w:t>
      </w:r>
      <w:r>
        <w:rPr>
          <w:rFonts w:ascii="Times New Roman" w:hAnsi="Times New Roman" w:cs="Times New Roman"/>
          <w:sz w:val="28"/>
          <w:szCs w:val="28"/>
        </w:rPr>
        <w:t xml:space="preserve"> самосевного                       и порослевого происхождения, образующие единый сомкнутый полог) рассчитываются следующим образом: каждые 100 кв. м приравниваются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 xml:space="preserve">к 20 деревьям. Лиственные деревья порослевого и самосевного происхождения, не подлежащие пересадке, с диаметром ствола до 5 см включительно на высоте 1,3 м в расчете </w:t>
      </w:r>
      <w:r>
        <w:rPr>
          <w:rFonts w:ascii="Times New Roman" w:hAnsi="Times New Roman" w:cs="Times New Roman"/>
          <w:sz w:val="28"/>
          <w:szCs w:val="28"/>
        </w:rPr>
        <w:t xml:space="preserve">размера вреда окружающей среде</w:t>
      </w:r>
      <w:r>
        <w:rPr>
          <w:rFonts w:ascii="Times New Roman" w:hAnsi="Times New Roman" w:cs="Times New Roman"/>
          <w:sz w:val="28"/>
          <w:szCs w:val="28"/>
        </w:rPr>
        <w:t xml:space="preserve"> не учитываются.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 Размер вреда окружающей среде вычисляется исходя из фактических затрат на восстановление нарушенного состояния окружающей среды с учетом понесенных убытков, в том числе упущенной выгоды. </w:t>
      </w:r>
      <w:hyperlink w:tooltip="#P516" w:anchor="P516" w:history="1">
        <w:r>
          <w:rPr>
            <w:rFonts w:ascii="Times New Roman" w:hAnsi="Times New Roman" w:cs="Times New Roman"/>
            <w:sz w:val="28"/>
            <w:szCs w:val="28"/>
          </w:rPr>
          <w:t xml:space="preserve">Размер</w:t>
        </w:r>
      </w:hyperlink>
      <w:r>
        <w:rPr>
          <w:rFonts w:ascii="Times New Roman" w:hAnsi="Times New Roman" w:cs="Times New Roman"/>
          <w:sz w:val="28"/>
          <w:szCs w:val="28"/>
        </w:rPr>
        <w:t xml:space="preserve">ы</w:t>
      </w:r>
      <w:r>
        <w:rPr>
          <w:rFonts w:ascii="Times New Roman" w:hAnsi="Times New Roman" w:cs="Times New Roman"/>
          <w:sz w:val="28"/>
          <w:szCs w:val="28"/>
        </w:rPr>
        <w:t xml:space="preserve"> фактических затрат на восстановление зеленых насаждений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 ЗАТО Северск утверждаются постановлением Администрации ЗАТО Северск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складываю</w:t>
      </w:r>
      <w:r>
        <w:rPr>
          <w:rFonts w:ascii="Times New Roman" w:hAnsi="Times New Roman" w:cs="Times New Roman"/>
          <w:sz w:val="28"/>
          <w:szCs w:val="28"/>
        </w:rPr>
        <w:t xml:space="preserve">тся из интегрального показателя сметной стоимости их посадки, стоимости посадочного материала и ухода, обесп</w:t>
      </w:r>
      <w:r>
        <w:rPr>
          <w:rFonts w:ascii="Times New Roman" w:hAnsi="Times New Roman" w:cs="Times New Roman"/>
          <w:sz w:val="28"/>
          <w:szCs w:val="28"/>
        </w:rPr>
        <w:t xml:space="preserve">ечивающего полное восстановление их декоративных и экологических качеств. При расчете принято, что каждые 5 см прироста диаметра дерева соответствуют 1 уходу; количество уходов за кустарниками (свободно растущими и в живой изгороди) соответствует возрасту.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зеленых насаждений, расположенных за пределами жилой зоны населенных </w:t>
      </w:r>
      <w:r>
        <w:rPr>
          <w:rFonts w:ascii="Times New Roman" w:hAnsi="Times New Roman" w:cs="Times New Roman"/>
          <w:sz w:val="28"/>
          <w:szCs w:val="28"/>
        </w:rPr>
        <w:t xml:space="preserve">пунктов</w:t>
      </w:r>
      <w:r>
        <w:rPr>
          <w:rFonts w:ascii="Times New Roman" w:hAnsi="Times New Roman" w:cs="Times New Roman"/>
          <w:sz w:val="28"/>
          <w:szCs w:val="28"/>
        </w:rPr>
        <w:t xml:space="preserve"> ЗАТО Северск (на землях промышленности), к расчету размера фактических затрат применяется коэффициент 0,4.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 Снос зеленых насаждений (древесно-кустарниковой и травянистой растительности естественного и искусственного происхождения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–</w:t>
      </w:r>
      <w:r>
        <w:rPr>
          <w:rFonts w:ascii="Times New Roman" w:hAnsi="Times New Roman" w:cs="Times New Roman"/>
          <w:sz w:val="28"/>
          <w:szCs w:val="28"/>
        </w:rPr>
        <w:t xml:space="preserve"> деревьев, кустарников, газонов, цветников), произрастающих на </w:t>
      </w:r>
      <w:r>
        <w:rPr>
          <w:rFonts w:ascii="Times New Roman" w:hAnsi="Times New Roman" w:cs="Times New Roman"/>
          <w:sz w:val="28"/>
          <w:szCs w:val="28"/>
        </w:rPr>
        <w:t xml:space="preserve">территории</w:t>
      </w:r>
      <w:r>
        <w:rPr>
          <w:rFonts w:ascii="Times New Roman" w:hAnsi="Times New Roman" w:cs="Times New Roman"/>
          <w:sz w:val="28"/>
          <w:szCs w:val="28"/>
        </w:rPr>
        <w:t xml:space="preserve"> ЗАТО Северск, осуществляется: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 при реализации проектов, предусмотренных градостроительной документацией, согласованной в установленном законодательством в сфере градостроительной деятельности порядке;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 при проведении строительства, реконструкции, текущего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и капитального ремонтов линейных объектов в случае необходимости вырубки за пределами охранных зон линейных объектов (за исключением проведения аварийно-восстановительных работ);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 при проведении реконструкции, текущего и капитального ремонтов объектов капитального строительства;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 в целях восстановления светового режима в помещениях, затеняемых деревьями</w:t>
      </w:r>
      <w:r>
        <w:rPr>
          <w:rFonts w:ascii="Times New Roman" w:hAnsi="Times New Roman" w:cs="Times New Roman"/>
          <w:sz w:val="28"/>
          <w:szCs w:val="28"/>
        </w:rPr>
        <w:t xml:space="preserve">,</w:t>
      </w:r>
      <w:r>
        <w:rPr>
          <w:rFonts w:ascii="Times New Roman" w:hAnsi="Times New Roman" w:cs="Times New Roman"/>
          <w:sz w:val="28"/>
          <w:szCs w:val="28"/>
        </w:rPr>
        <w:t xml:space="preserve"> при наличии заключения о несоответствии естественного уровня освещения в жилом помещении установленным требованиям;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 при размещении и установке некапитальных строений, сооружений;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 при проведении инженерных изысканий;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7) в целях устранения нарушений строительных, санитарных и иных норм и правил, вызванных произрастанием зеленых насаждений;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8) при проведении санитарных вырубок (обрезок), реконструкции зеленых насаждений;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9) при проведении аварийно-восстановительных работ текущего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и капитального характера в границах охранных зон линейных объектов;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10) в целях предупреждения и ликвидации аварийных и чрезвычайных ситуаций;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11) при проведении реконструкции зеленых насаждений, в том числе </w:t>
      </w:r>
      <w:r>
        <w:rPr>
          <w:rFonts w:ascii="Times New Roman" w:hAnsi="Times New Roman" w:cs="Times New Roman"/>
          <w:sz w:val="28"/>
          <w:szCs w:val="28"/>
        </w:rPr>
        <w:t xml:space="preserve">при </w:t>
      </w:r>
      <w:r>
        <w:rPr>
          <w:rFonts w:ascii="Times New Roman" w:hAnsi="Times New Roman" w:cs="Times New Roman"/>
          <w:sz w:val="28"/>
          <w:szCs w:val="28"/>
        </w:rPr>
        <w:t xml:space="preserve">снос</w:t>
      </w:r>
      <w:r>
        <w:rPr>
          <w:rFonts w:ascii="Times New Roman" w:hAnsi="Times New Roman" w:cs="Times New Roman"/>
          <w:sz w:val="28"/>
          <w:szCs w:val="28"/>
        </w:rPr>
        <w:t xml:space="preserve">е</w:t>
      </w:r>
      <w:r>
        <w:rPr>
          <w:rFonts w:ascii="Times New Roman" w:hAnsi="Times New Roman" w:cs="Times New Roman"/>
          <w:sz w:val="28"/>
          <w:szCs w:val="28"/>
        </w:rPr>
        <w:t xml:space="preserve"> деревьев категорий «сухостой текущего года» или «сухостой прошлых лет», а также деревьев категорий «усыхающие» и «погибшие»;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12) при наличии заключения специализированной медицинской организации о вреде, причиняемом здоровью граждан наличием зеленых насаждений;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13) при разработке карьера с целью добычи общераспространенных полезных ископаемых;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14) при сносе зеленых насаждений хвойных пород для новогоднего оформления населенных </w:t>
      </w:r>
      <w:r>
        <w:rPr>
          <w:rFonts w:ascii="Times New Roman" w:hAnsi="Times New Roman" w:cs="Times New Roman"/>
          <w:sz w:val="28"/>
          <w:szCs w:val="28"/>
        </w:rPr>
        <w:t xml:space="preserve">пунктов</w:t>
      </w:r>
      <w:r>
        <w:rPr>
          <w:rFonts w:ascii="Times New Roman" w:hAnsi="Times New Roman" w:cs="Times New Roman"/>
          <w:sz w:val="28"/>
          <w:szCs w:val="28"/>
        </w:rPr>
        <w:t xml:space="preserve"> ЗАТО Северск.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8. Получение разрешений на право вырубки зеленых насаждений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               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в соответствии с подпунктом 1 пункта 7 осуществляется в рамках Административных регламентов предоставления муниципальных услуг «Выдача разрешения на строительство объекта капитального строительства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(в том числе внесение изменений в разрешение на строительство объекта капитального строительства и внесение изменений в разрешение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                        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на строительство объекта капитального строительства в связи с про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длением срока такого разрешения) и «Выдача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сервитута»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,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утвержденных постановлениями  Администрации ЗАТО Северск от 14.04.2023 № 580-па «Об утверждении Административного регламента предоставления муниципальной услуги «Выдача разрешения на строительство объекта капитального строительства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(в том числе внесение изменений в разрешение на строительство объекта капитального строительства и внесение изменений в разрешение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на строительство объекта капитального строительства в связи с продлением срока такого разрешения)» и от 03.04.2024 № 1067-па «Об утверждении Административного регламента пр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едоставления муниципальной услуги «Выдача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сервитута».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9. Получение разрешений на право вырубки зеленых насаждений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               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в соответствии с подпунктами 2 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-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 6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, 13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пункта 7 (далее – разрешение)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осуществляется в рамках Административного регламента предоставления муниципальной услуги «Выдача разрешений на право вырубки зеленых насаждений», утвержденного постановлением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Администрации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ЗАТО Северск.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10. Разрешением на снос зеленых насаждений в целях, предусмотренных подпунктами 7 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-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 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12, 14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 w:val="0"/>
          <w:sz w:val="28"/>
          <w:szCs w:val="28"/>
        </w:rPr>
        <w:t xml:space="preserve">пункта 7</w:t>
      </w:r>
      <w:r>
        <w:rPr>
          <w:rFonts w:ascii="Times New Roman" w:hAnsi="Times New Roman" w:eastAsia="Times New Roman" w:cs="Times New Roman"/>
          <w:b w:val="0"/>
          <w:sz w:val="28"/>
          <w:szCs w:val="28"/>
        </w:rPr>
        <w:t xml:space="preserve">,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является ордер, выданный в соответствии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с П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оложением о ландшафтной комиссии, действующей на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территории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ЗАТО Северск (далее – ордер).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/>
      <w:bookmarkStart w:id="1" w:name="P86"/>
      <w:r/>
      <w:bookmarkEnd w:id="1"/>
      <w:r>
        <w:rPr>
          <w:rFonts w:ascii="Times New Roman" w:hAnsi="Times New Roman" w:cs="Times New Roman"/>
          <w:sz w:val="28"/>
          <w:szCs w:val="28"/>
        </w:rPr>
        <w:t xml:space="preserve">11. В случае начисления размера вреда окружающей среде в результате сноса зеленых насаждений акт ландшафтной комиссии, разрешение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на выполнение работ по сносу зеленых насаждений выдаются заинтересованным лицам при наличии документа, подтверждающего оплату фактических затрат на восстановление нарушенного состояния окружающей среды в </w:t>
      </w:r>
      <w:r>
        <w:rPr>
          <w:rFonts w:ascii="Times New Roman" w:hAnsi="Times New Roman" w:cs="Times New Roman"/>
          <w:sz w:val="28"/>
          <w:szCs w:val="28"/>
        </w:rPr>
        <w:t xml:space="preserve">бюджет</w:t>
      </w:r>
      <w:r>
        <w:rPr>
          <w:rFonts w:ascii="Times New Roman" w:hAnsi="Times New Roman" w:cs="Times New Roman"/>
          <w:sz w:val="28"/>
          <w:szCs w:val="28"/>
        </w:rPr>
        <w:t xml:space="preserve"> ЗАТО Северск.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/>
      <w:bookmarkStart w:id="2" w:name="P87"/>
      <w:r/>
      <w:bookmarkEnd w:id="2"/>
      <w:r>
        <w:rPr>
          <w:rFonts w:ascii="Times New Roman" w:hAnsi="Times New Roman" w:cs="Times New Roman"/>
          <w:sz w:val="28"/>
          <w:szCs w:val="28"/>
        </w:rPr>
        <w:t xml:space="preserve">12. Оплата фактических затрат на восстановление нарушенного состояния окружающей среды при сносе зеленых насаждений не взимается в следующих случаях: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 при прове</w:t>
      </w:r>
      <w:r>
        <w:rPr>
          <w:rFonts w:ascii="Times New Roman" w:hAnsi="Times New Roman" w:cs="Times New Roman"/>
          <w:sz w:val="28"/>
          <w:szCs w:val="28"/>
        </w:rPr>
        <w:t xml:space="preserve">дении инициированных органами местного самоуправления городского округа ЗАТО Северск санитарных рубок и реконструкции зеленых насаждений, в том числе сноса деревьев категорий «сухостой текущего года» или «сухостой прошлых лет», а также деревьев категорий «</w:t>
      </w:r>
      <w:r>
        <w:rPr>
          <w:rFonts w:ascii="Times New Roman" w:hAnsi="Times New Roman" w:cs="Times New Roman"/>
          <w:sz w:val="28"/>
          <w:szCs w:val="28"/>
        </w:rPr>
        <w:t xml:space="preserve">усыхающие»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 xml:space="preserve">и «погибшие», без уточнения состояния их аварийности;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 при сносе зеленых насаждений, осуществляемом в связи с реализацией проектов по строительству</w:t>
      </w:r>
      <w:r>
        <w:rPr>
          <w:rFonts w:ascii="Times New Roman" w:hAnsi="Times New Roman" w:cs="Times New Roman"/>
          <w:sz w:val="28"/>
          <w:szCs w:val="28"/>
        </w:rPr>
        <w:t xml:space="preserve">, реконструкции, капитальному или текущему ремонту объектов капитального строительства, находящихся в муниципальной собственности, либо объектов капитального строительства, строительство, реконструкция, капитальный или текущий ремонт которых финансируются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 xml:space="preserve">за счет средств местного бюджета;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 при сносе зеленых насаждений для реализации проектов</w:t>
      </w:r>
      <w:r>
        <w:rPr>
          <w:rFonts w:ascii="Times New Roman" w:hAnsi="Times New Roman" w:cs="Times New Roman"/>
          <w:sz w:val="28"/>
          <w:szCs w:val="28"/>
        </w:rPr>
        <w:t xml:space="preserve"> по строительству, реконструкции, капитальному и текущему ремонту объектов капитального строительства, благоустройства объектов капитального строительства в рамках реализации полномочий органов местного самоуправления по решению вопросов местного значения;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 при получении земельных участков для индивидуального жилищного строительства в соответствии </w:t>
      </w:r>
      <w:r>
        <w:rPr>
          <w:rFonts w:ascii="Times New Roman" w:hAnsi="Times New Roman" w:cs="Times New Roman"/>
          <w:sz w:val="28"/>
          <w:szCs w:val="28"/>
        </w:rPr>
        <w:t xml:space="preserve">со </w:t>
      </w:r>
      <w:hyperlink r:id="rId14" w:tooltip="https://login.consultant.ru/link/?req=doc&amp;base=RLAW091&amp;n=189822&amp;dst=100124" w:history="1">
        <w:r>
          <w:rPr>
            <w:rFonts w:ascii="Times New Roman" w:hAnsi="Times New Roman" w:cs="Times New Roman"/>
            <w:sz w:val="28"/>
            <w:szCs w:val="28"/>
          </w:rPr>
          <w:t xml:space="preserve">статьей 14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Закона Томской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от</w:t>
      </w:r>
      <w:r>
        <w:rPr>
          <w:rFonts w:ascii="Times New Roman" w:hAnsi="Times New Roman" w:cs="Times New Roman"/>
          <w:sz w:val="28"/>
          <w:szCs w:val="28"/>
        </w:rPr>
        <w:t xml:space="preserve"> 9 июля 2015 года</w:t>
      </w:r>
      <w:r>
        <w:rPr>
          <w:rFonts w:ascii="Times New Roman" w:hAnsi="Times New Roman" w:cs="Times New Roman"/>
          <w:sz w:val="28"/>
          <w:szCs w:val="28"/>
        </w:rPr>
        <w:t xml:space="preserve"> № 100-ОЗ «О земельных отношениях в Томской области»;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 при разрушении или угрозе разрушения фундаментов зданий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 xml:space="preserve">и сооружений корневой системой деревьев по заявлению землепользователя, землевладельца, управляющей компании или ТСЖ, обслуживающих жилой фонд, арендатора земельного участка под зданием, сооружением;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 при вырубке деревьев и кустарников, произрастающих в охранных зонах инженерных сетей и коммуникаций;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7) при сносе зеленых насаждений для обеспечения безопасности дорожного движения на автомобильных дорогах общего пользования местного значения;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8) при сносе зеленых насаждений, осуществляемом в связи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с восстановлением режима инсоляции в жилых и нежилых помещениях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по заключению органов, осуществляющих федеральный государственный санитарно-эпидемиологический надзор;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9) при сносе зеленых насаждений, осуществляемом в связи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с предупреждением и ликвидацией последствий чрезвычайных ситуаций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границах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ЗАТО Северск;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10) при принятии ландшафтной комиссией решения о пересадке зеленых насаждений на другую территорию;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11) при принятии решения о выдаче разрешения на снос зеленых насаждений с проведением компенсационного озеленения в соответствии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</w:t>
      </w:r>
      <w:hyperlink w:tooltip="#P101" w:anchor="P101" w:history="1">
        <w:r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пунктом 13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Порядка.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color w:val="000000" w:themeColor="text1"/>
          <w:sz w:val="28"/>
          <w:szCs w:val="28"/>
          <w:lang w:eastAsia="ru-RU"/>
        </w:rPr>
        <w:t xml:space="preserve">13. Древесина, полученная в результате снос</w:t>
      </w:r>
      <w:r>
        <w:rPr>
          <w:rFonts w:ascii="Times New Roman" w:hAnsi="Times New Roman" w:cs="Times New Roman" w:eastAsiaTheme="minorEastAsia"/>
          <w:color w:val="000000" w:themeColor="text1"/>
          <w:sz w:val="28"/>
          <w:szCs w:val="28"/>
          <w:lang w:eastAsia="ru-RU"/>
        </w:rPr>
        <w:t xml:space="preserve">а</w:t>
      </w:r>
      <w:r>
        <w:rPr>
          <w:rFonts w:ascii="Times New Roman" w:hAnsi="Times New Roman" w:cs="Times New Roman" w:eastAsiaTheme="minorEastAsia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 w:eastAsiaTheme="minorEastAsia"/>
          <w:color w:val="000000" w:themeColor="text1"/>
          <w:sz w:val="28"/>
          <w:szCs w:val="28"/>
          <w:lang w:eastAsia="ru-RU"/>
        </w:rPr>
        <w:t xml:space="preserve">деревьев хвойных пород, березы, осины, тополя</w:t>
      </w:r>
      <w:r>
        <w:rPr>
          <w:rFonts w:ascii="Times New Roman" w:hAnsi="Times New Roman" w:cs="Times New Roman" w:eastAsiaTheme="minorEastAsia"/>
          <w:color w:val="000000" w:themeColor="text1"/>
          <w:sz w:val="28"/>
          <w:szCs w:val="28"/>
          <w:lang w:eastAsia="ru-RU"/>
        </w:rPr>
        <w:t xml:space="preserve">,</w:t>
      </w:r>
      <w:r>
        <w:rPr>
          <w:rFonts w:ascii="Times New Roman" w:hAnsi="Times New Roman" w:cs="Times New Roman" w:eastAsiaTheme="minorEastAsia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 w:eastAsiaTheme="minorEastAsia"/>
          <w:color w:val="000000" w:themeColor="text1"/>
          <w:sz w:val="28"/>
          <w:szCs w:val="28"/>
          <w:lang w:eastAsia="ru-RU"/>
        </w:rPr>
        <w:t xml:space="preserve">реализуется в соответствии с </w:t>
      </w:r>
      <w:hyperlink r:id="rId15" w:tooltip="https://login.consultant.ru/link/?req=doc&amp;base=RLAW091&amp;n=174659&amp;dst=100300" w:history="1">
        <w:r>
          <w:rPr>
            <w:rFonts w:ascii="Times New Roman" w:hAnsi="Times New Roman" w:cs="Times New Roman" w:eastAsiaTheme="minorEastAsia"/>
            <w:color w:val="000000" w:themeColor="text1"/>
            <w:sz w:val="28"/>
            <w:szCs w:val="28"/>
            <w:lang w:eastAsia="ru-RU"/>
          </w:rPr>
          <w:t xml:space="preserve">Порядком</w:t>
        </w:r>
      </w:hyperlink>
      <w:r>
        <w:rPr>
          <w:rFonts w:ascii="Times New Roman" w:hAnsi="Times New Roman" w:cs="Times New Roman" w:eastAsiaTheme="minorEastAsia"/>
          <w:color w:val="000000" w:themeColor="text1"/>
          <w:sz w:val="28"/>
          <w:szCs w:val="28"/>
          <w:lang w:eastAsia="ru-RU"/>
        </w:rPr>
        <w:t xml:space="preserve"> учета, хранения и реализации древесины на территории ЗАТО Северск, утвержденным постановлением Администрации ЗАТО Северск от 18.09.2018</w:t>
      </w:r>
      <w:r>
        <w:rPr>
          <w:rFonts w:ascii="Times New Roman" w:hAnsi="Times New Roman" w:cs="Times New Roman" w:eastAsiaTheme="minorEastAsia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 w:eastAsiaTheme="minorEastAsia"/>
          <w:color w:val="000000" w:themeColor="text1"/>
          <w:sz w:val="28"/>
          <w:szCs w:val="28"/>
          <w:lang w:eastAsia="ru-RU"/>
        </w:rPr>
        <w:t xml:space="preserve">№ 1780 </w:t>
      </w:r>
      <w:r>
        <w:rPr>
          <w:rFonts w:ascii="Times New Roman" w:hAnsi="Times New Roman" w:cs="Times New Roman" w:eastAsiaTheme="minorEastAsia"/>
          <w:color w:val="000000" w:themeColor="text1"/>
          <w:sz w:val="28"/>
          <w:szCs w:val="28"/>
          <w:lang w:eastAsia="ru-RU"/>
        </w:rPr>
        <w:t xml:space="preserve">                   </w:t>
      </w:r>
      <w:r>
        <w:rPr>
          <w:rFonts w:ascii="Times New Roman" w:hAnsi="Times New Roman" w:cs="Times New Roman" w:eastAsiaTheme="minorEastAsia"/>
          <w:color w:val="000000" w:themeColor="text1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 w:eastAsiaTheme="minorEastAsia"/>
          <w:color w:val="000000" w:themeColor="text1"/>
          <w:sz w:val="28"/>
          <w:szCs w:val="28"/>
          <w:lang w:eastAsia="ru-RU"/>
        </w:rPr>
        <w:t xml:space="preserve">«</w:t>
      </w:r>
      <w:r>
        <w:rPr>
          <w:rFonts w:ascii="Times New Roman" w:hAnsi="Times New Roman" w:cs="Times New Roman" w:eastAsiaTheme="minorEastAsia"/>
          <w:color w:val="000000" w:themeColor="text1"/>
          <w:sz w:val="28"/>
          <w:szCs w:val="28"/>
          <w:lang w:eastAsia="ru-RU"/>
        </w:rPr>
        <w:t xml:space="preserve">Об утверждении Порядка учета, хранения и реализации древесины на территории ЗАТО Северск».</w:t>
      </w:r>
      <w:r>
        <w:rPr>
          <w:rFonts w:ascii="Times New Roman" w:hAnsi="Times New Roman" w:cs="Times New Roman" w:eastAsiaTheme="minorEastAsia"/>
          <w:color w:val="000000" w:themeColor="text1"/>
          <w:sz w:val="28"/>
          <w:szCs w:val="28"/>
          <w:lang w:eastAsia="ru-RU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14. Снос зеленых насаждений, осуществляемый при предупреждении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ликвидации аварийных и чрезвычайных ситуаций, а также снос аварийных деревьев производятся по решению ландшафтной комиссии незамедлительно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последующим оформлением акта ландшафтной комиссии в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трехдневный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срок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/>
      <w:bookmarkStart w:id="3" w:name="P101"/>
      <w:r/>
      <w:bookmarkEnd w:id="3"/>
      <w:r>
        <w:rPr>
          <w:rFonts w:ascii="Times New Roman" w:hAnsi="Times New Roman" w:cs="Times New Roman"/>
          <w:sz w:val="28"/>
          <w:szCs w:val="28"/>
        </w:rPr>
        <w:t xml:space="preserve">15. При реализации проектов по строительству (реконструкции, модернизации и капитальному ремонту) объектов по заявлениям физических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и юридических лиц, осуществляющих строительную деятельность, вместо оплаты фактических затрат на восстановление нарушенного состоя</w:t>
      </w:r>
      <w:r>
        <w:rPr>
          <w:rFonts w:ascii="Times New Roman" w:hAnsi="Times New Roman" w:cs="Times New Roman"/>
          <w:sz w:val="28"/>
          <w:szCs w:val="28"/>
        </w:rPr>
        <w:t xml:space="preserve">ния окружающей среды при сносе зеленых насаждений возможно проведение компенсационного озеленения, для чего в составе проектно-сметной документации необходимо определять затраты на восстановление зеленых насаждений в объемах не менее стоимости фактических </w:t>
      </w:r>
      <w:hyperlink w:tooltip="#P516" w:anchor="P516" w:history="1">
        <w:r>
          <w:rPr>
            <w:rFonts w:ascii="Times New Roman" w:hAnsi="Times New Roman" w:cs="Times New Roman"/>
            <w:sz w:val="28"/>
            <w:szCs w:val="28"/>
          </w:rPr>
          <w:t xml:space="preserve">затрат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на восстановление нарушенного состояния окружающей среды при сносе деревьев, утвержденных настоящим постановлением.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разр</w:t>
      </w:r>
      <w:r>
        <w:rPr>
          <w:rFonts w:ascii="Times New Roman" w:hAnsi="Times New Roman" w:cs="Times New Roman"/>
          <w:sz w:val="28"/>
          <w:szCs w:val="28"/>
        </w:rPr>
        <w:t xml:space="preserve">ешении (ордере), предусматривающем проведение компенсационного озеленения, указывается срок проведения компенсационного озеленения, количество, видовой состав, высота и диаметр штамба зеленых насаждений, высаживаемых в качестве компенсационного озеленения.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Компенсационное озеленение проводится за счет средств физических 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 xml:space="preserve">и юридических лиц, которым было выдано разрешение (ордер) в ближайший сезон, подходящий для высадки деревьев, не позднее года со дня выдачи разрешения на снос деревьев.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Компенсационное озеленение проводится на том же земельном участке, где деревья были уничтожены,</w:t>
      </w:r>
      <w:r>
        <w:rPr>
          <w:rFonts w:ascii="Times New Roman" w:hAnsi="Times New Roman" w:cs="Times New Roman"/>
          <w:sz w:val="28"/>
          <w:szCs w:val="28"/>
        </w:rPr>
        <w:t xml:space="preserve"> при этом </w:t>
      </w:r>
      <w:r>
        <w:rPr>
          <w:rFonts w:ascii="Times New Roman" w:hAnsi="Times New Roman" w:cs="Times New Roman"/>
          <w:sz w:val="28"/>
          <w:szCs w:val="28"/>
        </w:rPr>
        <w:t xml:space="preserve">количество единиц растений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и занимаемая ими площадь не должны быть уменьшены, либо на другом земельном участке, который определяет ландшафтная комиссия.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Факт надлежащего выполнения работ по компенсационному озеленению устанавливается актом осмотра зеленых насаждений, который составляется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и подписывается членами ландшафтной комиссии в присутствии физического лица или представителя юридического лица, которому был</w:t>
      </w:r>
      <w:r>
        <w:rPr>
          <w:rFonts w:ascii="Times New Roman" w:hAnsi="Times New Roman" w:cs="Times New Roman"/>
          <w:sz w:val="28"/>
          <w:szCs w:val="28"/>
        </w:rPr>
        <w:t xml:space="preserve">о</w:t>
      </w:r>
      <w:r>
        <w:rPr>
          <w:rFonts w:ascii="Times New Roman" w:hAnsi="Times New Roman" w:cs="Times New Roman"/>
          <w:sz w:val="28"/>
          <w:szCs w:val="28"/>
        </w:rPr>
        <w:t xml:space="preserve"> выдано разрешение (ордер)</w:t>
      </w:r>
      <w:r>
        <w:rPr>
          <w:rFonts w:ascii="Times New Roman" w:hAnsi="Times New Roman" w:cs="Times New Roman"/>
          <w:sz w:val="28"/>
          <w:szCs w:val="28"/>
        </w:rPr>
        <w:t xml:space="preserve"> с условием проведения</w:t>
      </w:r>
      <w:r>
        <w:rPr>
          <w:rFonts w:ascii="Times New Roman" w:hAnsi="Times New Roman" w:cs="Times New Roman"/>
          <w:sz w:val="28"/>
          <w:szCs w:val="28"/>
        </w:rPr>
        <w:t xml:space="preserve"> компенсационного озеленения. К акту осмотра зеленых насаждений прилагаются материалы </w:t>
      </w:r>
      <w:r>
        <w:rPr>
          <w:rFonts w:ascii="Times New Roman" w:hAnsi="Times New Roman" w:cs="Times New Roman"/>
          <w:sz w:val="28"/>
          <w:szCs w:val="28"/>
        </w:rPr>
        <w:t xml:space="preserve">фотофиксации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/>
      <w:bookmarkStart w:id="4" w:name="P106"/>
      <w:r/>
      <w:bookmarkEnd w:id="4"/>
      <w:r>
        <w:rPr>
          <w:rFonts w:ascii="Times New Roman" w:hAnsi="Times New Roman" w:cs="Times New Roman"/>
          <w:sz w:val="28"/>
          <w:szCs w:val="28"/>
        </w:rPr>
        <w:t xml:space="preserve">16. Пересадка деревьев и кустарников осуществляется за счет лица, обратившегося с заявлением о пересадке деревьев или кустарников.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17. Пересадке подлежат деревья с диаметром у основания ствола не более 10 сантиметров и кустарники возрастом до пяти лет.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Лица, обратившиеся с заявлением о пересадке деревьев или кустарников, несут ответственность за содержание пересаженных зеленых насаждений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в течение одного года со дня составления акта обследования зеленых насаждений.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позднее одного месяца после истечения одного года со дня, указанного в разрешении на пересадку деревьев и кустарников, </w:t>
      </w:r>
      <w:r>
        <w:rPr>
          <w:rFonts w:ascii="Times New Roman" w:hAnsi="Times New Roman" w:cs="Times New Roman"/>
          <w:sz w:val="28"/>
          <w:szCs w:val="28"/>
        </w:rPr>
        <w:t xml:space="preserve">ландшафтная к</w:t>
      </w:r>
      <w:r>
        <w:rPr>
          <w:rFonts w:ascii="Times New Roman" w:hAnsi="Times New Roman" w:cs="Times New Roman"/>
          <w:sz w:val="28"/>
          <w:szCs w:val="28"/>
        </w:rPr>
        <w:t xml:space="preserve">омиссия проводит обследование состояния пересаженных зеленых насаждений. Результаты обследования оформляются актом обследования зеленых насаждений, который подписывается </w:t>
      </w:r>
      <w:r>
        <w:rPr>
          <w:rFonts w:ascii="Times New Roman" w:hAnsi="Times New Roman" w:cs="Times New Roman"/>
          <w:sz w:val="28"/>
          <w:szCs w:val="28"/>
        </w:rPr>
        <w:t xml:space="preserve">членами </w:t>
      </w:r>
      <w:r>
        <w:rPr>
          <w:rFonts w:ascii="Times New Roman" w:hAnsi="Times New Roman" w:cs="Times New Roman"/>
          <w:sz w:val="28"/>
          <w:szCs w:val="28"/>
        </w:rPr>
        <w:t xml:space="preserve">ландшафтной к</w:t>
      </w:r>
      <w:r>
        <w:rPr>
          <w:rFonts w:ascii="Times New Roman" w:hAnsi="Times New Roman" w:cs="Times New Roman"/>
          <w:sz w:val="28"/>
          <w:szCs w:val="28"/>
        </w:rPr>
        <w:t xml:space="preserve">омиссии</w:t>
      </w:r>
      <w:r>
        <w:rPr>
          <w:rFonts w:ascii="Times New Roman" w:hAnsi="Times New Roman" w:cs="Times New Roman"/>
          <w:sz w:val="28"/>
          <w:szCs w:val="28"/>
        </w:rPr>
        <w:t xml:space="preserve">. К акту обследования зеленых насаждений прилагаются материалы </w:t>
      </w:r>
      <w:r>
        <w:rPr>
          <w:rFonts w:ascii="Times New Roman" w:hAnsi="Times New Roman" w:cs="Times New Roman"/>
          <w:sz w:val="28"/>
          <w:szCs w:val="28"/>
        </w:rPr>
        <w:t xml:space="preserve">фотофиксации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Неудовлетворительное состояние пересаженных деревьев или кустарников по истечении одного года, указанного в разрешении на пересадку деревьев и кустарников, отражается в акте обследования зеленых насаждений, составленном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присутствии физического лица или представителя юридического лица, которому было выдано разрешение на пересадку деревьев и кустарников. Физическое или юридическое лицо, которому было выдано разрешение на пересадку деревьев и кустарников, уведомляется </w:t>
      </w:r>
      <w:r>
        <w:rPr>
          <w:rFonts w:ascii="Times New Roman" w:hAnsi="Times New Roman" w:cs="Times New Roman"/>
          <w:sz w:val="28"/>
          <w:szCs w:val="28"/>
        </w:rPr>
        <w:t xml:space="preserve">ландшафтной к</w:t>
      </w:r>
      <w:r>
        <w:rPr>
          <w:rFonts w:ascii="Times New Roman" w:hAnsi="Times New Roman" w:cs="Times New Roman"/>
          <w:sz w:val="28"/>
          <w:szCs w:val="28"/>
        </w:rPr>
        <w:t xml:space="preserve">омиссией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 дате и времени проведения обследования зеленых насаждений телефонограммой. В случае если лицо (представитель юридического лица) не явилось на обследование зеленых насаждений или отказалось подписать акт обследования зеленых насаждений,</w:t>
      </w:r>
      <w:r>
        <w:rPr>
          <w:rFonts w:ascii="Times New Roman" w:hAnsi="Times New Roman" w:cs="Times New Roman"/>
          <w:sz w:val="28"/>
          <w:szCs w:val="28"/>
        </w:rPr>
        <w:t xml:space="preserve"> ландшафтной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</w:t>
      </w:r>
      <w:r>
        <w:rPr>
          <w:rFonts w:ascii="Times New Roman" w:hAnsi="Times New Roman" w:cs="Times New Roman"/>
          <w:sz w:val="28"/>
          <w:szCs w:val="28"/>
        </w:rPr>
        <w:t xml:space="preserve">омиссией делается соответствующая отметка в указанном акте.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18. В случае выявления на территории ЗАТО Северск самовольного (без получения разрешения либо ордера) сноса деревьев и (или) кустарников или их полного или частичного повреждения ландшафтная комиссия в течение </w:t>
      </w:r>
      <w:r>
        <w:rPr>
          <w:rFonts w:ascii="Times New Roman" w:hAnsi="Times New Roman" w:cs="Times New Roman"/>
          <w:sz w:val="28"/>
          <w:szCs w:val="28"/>
        </w:rPr>
        <w:t xml:space="preserve">пяти</w:t>
      </w:r>
      <w:r>
        <w:rPr>
          <w:rFonts w:ascii="Times New Roman" w:hAnsi="Times New Roman" w:cs="Times New Roman"/>
          <w:sz w:val="28"/>
          <w:szCs w:val="28"/>
        </w:rPr>
        <w:t xml:space="preserve"> рабочих дней со дня выявления указанного факта составляет акт осмотра зеленых насаждений</w:t>
      </w:r>
      <w:r>
        <w:rPr>
          <w:rFonts w:ascii="Times New Roman" w:hAnsi="Times New Roman" w:cs="Times New Roman"/>
          <w:sz w:val="28"/>
          <w:szCs w:val="28"/>
        </w:rPr>
        <w:t xml:space="preserve">,</w:t>
      </w:r>
      <w:r>
        <w:rPr>
          <w:rFonts w:ascii="Times New Roman" w:hAnsi="Times New Roman" w:cs="Times New Roman"/>
          <w:sz w:val="28"/>
          <w:szCs w:val="28"/>
        </w:rPr>
        <w:t xml:space="preserve"> производит расчет фактических затрат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на восстановление зеленых насаждений на территории ЗАТО Северск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и направляет их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bookmarkStart w:id="5" w:name="_GoBack"/>
      <w:r/>
      <w:bookmarkEnd w:id="5"/>
      <w:r>
        <w:rPr>
          <w:rFonts w:ascii="Times New Roman" w:hAnsi="Times New Roman" w:cs="Times New Roman"/>
          <w:sz w:val="28"/>
          <w:szCs w:val="28"/>
        </w:rPr>
        <w:t xml:space="preserve">УМВД России по ЗАТО </w:t>
      </w:r>
      <w:r>
        <w:rPr>
          <w:rFonts w:ascii="Times New Roman" w:hAnsi="Times New Roman" w:cs="Times New Roman"/>
          <w:sz w:val="28"/>
          <w:szCs w:val="28"/>
        </w:rPr>
        <w:t xml:space="preserve">г.Северск</w:t>
      </w:r>
      <w:r>
        <w:rPr>
          <w:rFonts w:ascii="Times New Roman" w:hAnsi="Times New Roman" w:cs="Times New Roman"/>
          <w:sz w:val="28"/>
          <w:szCs w:val="28"/>
        </w:rPr>
        <w:t xml:space="preserve"> Томской области для принятия решения о привлечении виновного лица к ответственности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/>
      <w:bookmarkStart w:id="6" w:name="P109"/>
      <w:r/>
      <w:bookmarkEnd w:id="6"/>
      <w:r>
        <w:rPr>
          <w:rFonts w:ascii="Times New Roman" w:hAnsi="Times New Roman" w:cs="Times New Roman"/>
          <w:sz w:val="28"/>
          <w:szCs w:val="28"/>
        </w:rPr>
        <w:t xml:space="preserve">19. Администратором доходов бюджета ЗАТО Северск по статье </w:t>
      </w:r>
      <w:r>
        <w:rPr>
          <w:rFonts w:ascii="Times New Roman" w:hAnsi="Times New Roman" w:cs="Times New Roman"/>
          <w:sz w:val="28"/>
          <w:szCs w:val="28"/>
        </w:rPr>
        <w:t xml:space="preserve">«Платежи по искам о возмещении вреда, причиненного окружающей среде,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а также платежи, уплачиваемые при добровольном возмещении вреда, причиненного окружающей среде (за исключением вреда, причиненного окружающей среде на особо охраняемых природных территориях), подлежащие зачислению в бюджет мун</w:t>
      </w:r>
      <w:r>
        <w:rPr>
          <w:rFonts w:ascii="Times New Roman" w:hAnsi="Times New Roman" w:cs="Times New Roman"/>
          <w:sz w:val="28"/>
          <w:szCs w:val="28"/>
        </w:rPr>
        <w:t xml:space="preserve">иципального образования» КБК 952 116 1105001 0001 140 (снос зеленых насаждений на землях промышленности) и КБК 952 116 1105001 0002 140 (прочие поступления) является Управление жилищно-коммунального хозяйства, транспорта и связи Администрации ЗАТО Северск.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Плата за восстановление нарушенного состояния окружающей среды при сносе зеленых насаждений осуществляется физическими и юридическими лицами путем внесения денежных средств в доход </w:t>
      </w:r>
      <w:r>
        <w:rPr>
          <w:rFonts w:ascii="Times New Roman" w:hAnsi="Times New Roman" w:cs="Times New Roman"/>
          <w:sz w:val="28"/>
          <w:szCs w:val="28"/>
        </w:rPr>
        <w:t xml:space="preserve">бюджета</w:t>
      </w:r>
      <w:r>
        <w:rPr>
          <w:rFonts w:ascii="Times New Roman" w:hAnsi="Times New Roman" w:cs="Times New Roman"/>
          <w:sz w:val="28"/>
          <w:szCs w:val="28"/>
        </w:rPr>
        <w:t xml:space="preserve"> ЗАТО Северск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по следующим реквизитам: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ИНН - 7024026709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КПП - 702401001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УФК по Томской области (УЖКХ </w:t>
      </w:r>
      <w:r>
        <w:rPr>
          <w:rFonts w:ascii="Times New Roman" w:hAnsi="Times New Roman" w:cs="Times New Roman"/>
          <w:sz w:val="28"/>
          <w:szCs w:val="28"/>
        </w:rPr>
        <w:t xml:space="preserve">ТиС</w:t>
      </w:r>
      <w:r>
        <w:rPr>
          <w:rFonts w:ascii="Times New Roman" w:hAnsi="Times New Roman" w:cs="Times New Roman"/>
          <w:sz w:val="28"/>
          <w:szCs w:val="28"/>
        </w:rPr>
        <w:t xml:space="preserve"> 04653000320)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Банк - ОТДЕЛЕНИЕ ТОМСК БАНКА РОССИИ // УФК по Томской области г. Томск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Казначейский счет 03100643000000016500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ЕКС 40102810245370000058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БИК - 016902004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/>
      <w:hyperlink r:id="rId16" w:tooltip="https://login.consultant.ru/link/?req=doc&amp;base=LAW&amp;n=150727" w:history="1">
        <w:r>
          <w:rPr>
            <w:rFonts w:ascii="Times New Roman" w:hAnsi="Times New Roman" w:cs="Times New Roman"/>
            <w:sz w:val="28"/>
            <w:szCs w:val="28"/>
          </w:rPr>
          <w:t xml:space="preserve">ОКТМО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- 697</w:t>
      </w:r>
      <w:r>
        <w:rPr>
          <w:rFonts w:ascii="Times New Roman" w:hAnsi="Times New Roman" w:cs="Times New Roman"/>
          <w:sz w:val="28"/>
          <w:szCs w:val="28"/>
        </w:rPr>
        <w:t xml:space="preserve">41000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КБК - 95211611050010002140 (либо 95211611050010001140 при сносе зеленых насаждений на землях промышленности).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поле назначения должна быть указана следующая информация: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«Платежи по искам о возмещении вреда, причиненного окружающей ср</w:t>
      </w:r>
      <w:r>
        <w:rPr>
          <w:rFonts w:ascii="Times New Roman" w:hAnsi="Times New Roman" w:cs="Times New Roman"/>
          <w:sz w:val="28"/>
          <w:szCs w:val="28"/>
        </w:rPr>
        <w:t xml:space="preserve">еде, а также платежи, уплачиваемые при добровольном возмещении вреда, причиненного окружающей среде (за исключением вреда, причиненного окружающей среде на особо охраняемых природных территориях), подлежащие зачислению в бюджет муниципального образования».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sectPr>
      <w:headerReference w:type="default" r:id="rId8"/>
      <w:footerReference w:type="default" r:id="rId9"/>
      <w:footerReference w:type="first" r:id="rId10"/>
      <w:footnotePr/>
      <w:endnotePr/>
      <w:type w:val="nextPage"/>
      <w:pgSz w:w="11906" w:h="16838" w:orient="portrait"/>
      <w:pgMar w:top="1134" w:right="567" w:bottom="1134" w:left="1701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Times New Roman">
    <w:panose1 w:val="02020603050405020304"/>
  </w:font>
  <w:font w:name="Verdana">
    <w:panose1 w:val="020B0604030504040204"/>
  </w:font>
  <w:font w:name="Courier New">
    <w:panose1 w:val="02070309020205020404"/>
  </w:font>
  <w:font w:name="Calibri">
    <w:panose1 w:val="020F0502020204030204"/>
  </w:font>
  <w:font w:name="Tahoma">
    <w:panose1 w:val="020B0604030504040204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3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0347107</w:t>
    </w:r>
    <w:r>
      <w:rPr>
        <w:rFonts w:ascii="Times New Roman" w:hAnsi="Times New Roman" w:cs="Times New Roman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3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0347107</w:t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83974766"/>
      <w:docPartObj>
        <w:docPartGallery w:val="Page Numbers (Top of Page)"/>
        <w:docPartUnique w:val="true"/>
      </w:docPartObj>
      <w:rPr/>
    </w:sdtPr>
    <w:sdtContent>
      <w:p>
        <w:pPr>
          <w:pStyle w:val="711"/>
          <w:jc w:val="center"/>
          <w:rPr>
            <w:rFonts w:ascii="Times New Roman" w:hAnsi="Times New Roman" w:cs="Times New Roman"/>
            <w:sz w:val="28"/>
            <w:szCs w:val="28"/>
          </w:rPr>
        </w:pPr>
        <w:r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</w:rPr>
          <w:t xml:space="preserve">7</w:t>
        </w:r>
        <w:r>
          <w:rPr>
            <w:rFonts w:ascii="Times New Roman" w:hAnsi="Times New Roman" w:cs="Times New Roman"/>
            <w:sz w:val="28"/>
            <w:szCs w:val="28"/>
          </w:rPr>
          <w:fldChar w:fldCharType="end"/>
        </w:r>
        <w:r>
          <w:rPr>
            <w:rFonts w:ascii="Times New Roman" w:hAnsi="Times New Roman" w:cs="Times New Roman"/>
            <w:sz w:val="28"/>
            <w:szCs w:val="28"/>
          </w:rPr>
        </w:r>
      </w:p>
    </w:sdtContent>
  </w:sdt>
  <w:p>
    <w:pPr>
      <w:pStyle w:val="711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4">
    <w:name w:val="Heading 1"/>
    <w:basedOn w:val="698"/>
    <w:next w:val="698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699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698"/>
    <w:next w:val="698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699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698"/>
    <w:next w:val="698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699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698"/>
    <w:next w:val="698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699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698"/>
    <w:next w:val="698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699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698"/>
    <w:next w:val="698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699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698"/>
    <w:next w:val="698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699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698"/>
    <w:next w:val="698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699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698"/>
    <w:next w:val="698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699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2">
    <w:name w:val="List Paragraph"/>
    <w:basedOn w:val="698"/>
    <w:uiPriority w:val="34"/>
    <w:qFormat/>
    <w:pPr>
      <w:contextualSpacing/>
      <w:ind w:left="720"/>
    </w:p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698"/>
    <w:next w:val="698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699"/>
    <w:link w:val="35"/>
    <w:uiPriority w:val="10"/>
    <w:rPr>
      <w:sz w:val="48"/>
      <w:szCs w:val="48"/>
    </w:rPr>
  </w:style>
  <w:style w:type="paragraph" w:styleId="37">
    <w:name w:val="Subtitle"/>
    <w:basedOn w:val="698"/>
    <w:next w:val="698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699"/>
    <w:link w:val="37"/>
    <w:uiPriority w:val="11"/>
    <w:rPr>
      <w:sz w:val="24"/>
      <w:szCs w:val="24"/>
    </w:rPr>
  </w:style>
  <w:style w:type="paragraph" w:styleId="39">
    <w:name w:val="Quote"/>
    <w:basedOn w:val="698"/>
    <w:next w:val="698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698"/>
    <w:next w:val="698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character" w:styleId="44">
    <w:name w:val="Header Char"/>
    <w:basedOn w:val="699"/>
    <w:link w:val="711"/>
    <w:uiPriority w:val="99"/>
  </w:style>
  <w:style w:type="character" w:styleId="46">
    <w:name w:val="Footer Char"/>
    <w:basedOn w:val="699"/>
    <w:link w:val="713"/>
    <w:uiPriority w:val="99"/>
  </w:style>
  <w:style w:type="paragraph" w:styleId="47">
    <w:name w:val="Caption"/>
    <w:basedOn w:val="698"/>
    <w:next w:val="698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699"/>
    <w:link w:val="47"/>
    <w:uiPriority w:val="35"/>
    <w:rPr>
      <w:b/>
      <w:bCs/>
      <w:color w:val="4f81bd" w:themeColor="accent1"/>
      <w:sz w:val="18"/>
      <w:szCs w:val="18"/>
    </w:rPr>
  </w:style>
  <w:style w:type="table" w:styleId="50">
    <w:name w:val="Table Grid Light"/>
    <w:basedOn w:val="70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70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70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7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7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7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7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7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7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7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149">
    <w:name w:val="List Table 7 Colorful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150">
    <w:name w:val="List Table 7 Colorful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151">
    <w:name w:val="List Table 7 Colorful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152">
    <w:name w:val="List Table 7 Colorful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153">
    <w:name w:val="List Table 7 Colorful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154">
    <w:name w:val="Lined - Accent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6">
    <w:name w:val="Lined - Accent 2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7">
    <w:name w:val="Lined - Accent 3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8">
    <w:name w:val="Lined - Accent 4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9">
    <w:name w:val="Lined - Accent 5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0">
    <w:name w:val="Lined - Accent 6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1">
    <w:name w:val="Bordered &amp; Lined - Accent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3">
    <w:name w:val="Bordered &amp; Lined - Accent 2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4">
    <w:name w:val="Bordered &amp; Lined - Accent 3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5">
    <w:name w:val="Bordered &amp; Lined - Accent 4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6">
    <w:name w:val="Bordered &amp; Lined - Accent 5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7">
    <w:name w:val="Bordered &amp; Lined - Accent 6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8">
    <w:name w:val="Bordered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6">
    <w:name w:val="footnote text"/>
    <w:basedOn w:val="698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699"/>
    <w:uiPriority w:val="99"/>
    <w:unhideWhenUsed/>
    <w:rPr>
      <w:vertAlign w:val="superscript"/>
    </w:rPr>
  </w:style>
  <w:style w:type="paragraph" w:styleId="179">
    <w:name w:val="endnote text"/>
    <w:basedOn w:val="698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699"/>
    <w:uiPriority w:val="99"/>
    <w:semiHidden/>
    <w:unhideWhenUsed/>
    <w:rPr>
      <w:vertAlign w:val="superscript"/>
    </w:rPr>
  </w:style>
  <w:style w:type="paragraph" w:styleId="182">
    <w:name w:val="toc 1"/>
    <w:basedOn w:val="698"/>
    <w:next w:val="698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698"/>
    <w:next w:val="698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698"/>
    <w:next w:val="698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698"/>
    <w:next w:val="698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698"/>
    <w:next w:val="698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698"/>
    <w:next w:val="698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698"/>
    <w:next w:val="698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698"/>
    <w:next w:val="698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698"/>
    <w:next w:val="698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698"/>
    <w:next w:val="698"/>
    <w:uiPriority w:val="99"/>
    <w:unhideWhenUsed/>
    <w:pPr>
      <w:spacing w:after="0" w:afterAutospacing="0"/>
    </w:pPr>
  </w:style>
  <w:style w:type="paragraph" w:styleId="698" w:default="1">
    <w:name w:val="Normal"/>
    <w:qFormat/>
  </w:style>
  <w:style w:type="character" w:styleId="699" w:default="1">
    <w:name w:val="Default Paragraph Font"/>
    <w:uiPriority w:val="1"/>
    <w:semiHidden/>
    <w:unhideWhenUsed/>
  </w:style>
  <w:style w:type="table" w:styleId="70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1" w:default="1">
    <w:name w:val="No List"/>
    <w:uiPriority w:val="99"/>
    <w:semiHidden/>
    <w:unhideWhenUsed/>
  </w:style>
  <w:style w:type="paragraph" w:styleId="702" w:customStyle="1">
    <w:name w:val="ConsPlusTitlePage"/>
    <w:pPr>
      <w:spacing w:after="0" w:line="240" w:lineRule="auto"/>
      <w:widowControl w:val="off"/>
    </w:pPr>
    <w:rPr>
      <w:rFonts w:ascii="Tahoma" w:hAnsi="Tahoma" w:cs="Tahoma" w:eastAsiaTheme="minorEastAsia"/>
      <w:sz w:val="20"/>
      <w:lang w:eastAsia="ru-RU"/>
    </w:rPr>
  </w:style>
  <w:style w:type="paragraph" w:styleId="703" w:customStyle="1">
    <w:name w:val="ConsPlusNormal"/>
    <w:pPr>
      <w:spacing w:after="0" w:line="240" w:lineRule="auto"/>
      <w:widowControl w:val="off"/>
    </w:pPr>
    <w:rPr>
      <w:rFonts w:ascii="Calibri" w:hAnsi="Calibri" w:cs="Calibri" w:eastAsiaTheme="minorEastAsia"/>
      <w:lang w:eastAsia="ru-RU"/>
    </w:rPr>
  </w:style>
  <w:style w:type="paragraph" w:styleId="704" w:customStyle="1">
    <w:name w:val="ConsPlusTitle"/>
    <w:uiPriority w:val="99"/>
    <w:pPr>
      <w:spacing w:after="0" w:line="240" w:lineRule="auto"/>
      <w:widowControl w:val="off"/>
    </w:pPr>
    <w:rPr>
      <w:rFonts w:ascii="Calibri" w:hAnsi="Calibri" w:cs="Calibri" w:eastAsiaTheme="minorEastAsia"/>
      <w:b/>
      <w:lang w:eastAsia="ru-RU"/>
    </w:rPr>
  </w:style>
  <w:style w:type="paragraph" w:styleId="705" w:customStyle="1">
    <w:name w:val="ConsPlusNonformat"/>
    <w:pPr>
      <w:spacing w:after="0" w:line="240" w:lineRule="auto"/>
      <w:widowControl w:val="off"/>
    </w:pPr>
    <w:rPr>
      <w:rFonts w:ascii="Courier New" w:hAnsi="Courier New" w:cs="Courier New" w:eastAsiaTheme="minorEastAsia"/>
      <w:sz w:val="20"/>
      <w:lang w:eastAsia="ru-RU"/>
    </w:rPr>
  </w:style>
  <w:style w:type="table" w:styleId="706">
    <w:name w:val="Table Grid"/>
    <w:basedOn w:val="700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707" w:customStyle="1">
    <w:name w:val="Знак"/>
    <w:basedOn w:val="698"/>
    <w:pPr>
      <w:spacing w:line="240" w:lineRule="exact"/>
      <w:tabs>
        <w:tab w:val="num" w:pos="360" w:leader="none"/>
      </w:tabs>
    </w:pPr>
    <w:rPr>
      <w:rFonts w:ascii="Verdana" w:hAnsi="Verdana" w:eastAsia="Times New Roman" w:cs="Verdana"/>
      <w:sz w:val="20"/>
      <w:szCs w:val="20"/>
      <w:lang w:val="en-US"/>
    </w:rPr>
  </w:style>
  <w:style w:type="character" w:styleId="708">
    <w:name w:val="Hyperlink"/>
    <w:basedOn w:val="699"/>
    <w:rPr>
      <w:color w:val="0000ff"/>
      <w:u w:val="single"/>
    </w:rPr>
  </w:style>
  <w:style w:type="paragraph" w:styleId="709">
    <w:name w:val="Balloon Text"/>
    <w:basedOn w:val="698"/>
    <w:link w:val="71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710" w:customStyle="1">
    <w:name w:val="Текст выноски Знак"/>
    <w:basedOn w:val="699"/>
    <w:link w:val="709"/>
    <w:uiPriority w:val="99"/>
    <w:semiHidden/>
    <w:rPr>
      <w:rFonts w:ascii="Segoe UI" w:hAnsi="Segoe UI" w:cs="Segoe UI"/>
      <w:sz w:val="18"/>
      <w:szCs w:val="18"/>
    </w:rPr>
  </w:style>
  <w:style w:type="paragraph" w:styleId="711">
    <w:name w:val="Header"/>
    <w:basedOn w:val="698"/>
    <w:link w:val="712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712" w:customStyle="1">
    <w:name w:val="Верхний колонтитул Знак"/>
    <w:basedOn w:val="699"/>
    <w:link w:val="711"/>
    <w:uiPriority w:val="99"/>
  </w:style>
  <w:style w:type="paragraph" w:styleId="713">
    <w:name w:val="Footer"/>
    <w:basedOn w:val="698"/>
    <w:link w:val="714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714" w:customStyle="1">
    <w:name w:val="Нижний колонтитул Знак"/>
    <w:basedOn w:val="699"/>
    <w:link w:val="713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footer" Target="footer2.xml" /><Relationship Id="rId11" Type="http://schemas.openxmlformats.org/officeDocument/2006/relationships/hyperlink" Target="https://login.consultant.ru/link/?req=doc&amp;base=LAW&amp;n=481447&amp;dst=100558" TargetMode="External"/><Relationship Id="rId12" Type="http://schemas.openxmlformats.org/officeDocument/2006/relationships/hyperlink" Target="https://login.consultant.ru/link/?req=doc&amp;base=RLAW091&amp;n=171231&amp;dst=100204" TargetMode="External"/><Relationship Id="rId13" Type="http://schemas.openxmlformats.org/officeDocument/2006/relationships/hyperlink" Target="https://login.consultant.ru/link/?req=doc&amp;base=LAW&amp;n=481447" TargetMode="External"/><Relationship Id="rId14" Type="http://schemas.openxmlformats.org/officeDocument/2006/relationships/hyperlink" Target="https://login.consultant.ru/link/?req=doc&amp;base=RLAW091&amp;n=189822&amp;dst=100124" TargetMode="External"/><Relationship Id="rId15" Type="http://schemas.openxmlformats.org/officeDocument/2006/relationships/hyperlink" Target="https://login.consultant.ru/link/?req=doc&amp;base=RLAW091&amp;n=174659&amp;dst=100300" TargetMode="External"/><Relationship Id="rId16" Type="http://schemas.openxmlformats.org/officeDocument/2006/relationships/hyperlink" Target="https://login.consultant.ru/link/?req=doc&amp;base=LAW&amp;n=150727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Microsoft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FadeevaOA</dc:creator>
  <cp:lastModifiedBy>Trofimova</cp:lastModifiedBy>
  <cp:revision>34</cp:revision>
  <dcterms:created xsi:type="dcterms:W3CDTF">2025-08-17T06:08:00Z</dcterms:created>
  <dcterms:modified xsi:type="dcterms:W3CDTF">2026-06-17T07:47:18Z</dcterms:modified>
</cp:coreProperties>
</file>