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/>
      <w:bookmarkStart w:id="0" w:name="_GoBack"/>
      <w:r/>
      <w:bookmarkEnd w:id="0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Style w:val="982"/>
        <w:tblpPr w:horzAnchor="margin" w:tblpX="936" w:vertAnchor="text" w:tblpY="-86" w:leftFromText="180" w:topFromText="0" w:rightFromText="180" w:bottomFromText="0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802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Администрации ЗАТО Северск от 16.11.2022 № 2097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целях приведения нормативного правового акта в соответствие с действующим законодательством постановляет: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1. Внести в </w:t>
      </w:r>
      <w:hyperlink r:id="rId13" w:tooltip="https://login.consultant.ru/link/?req=doc&amp;base=RLAW091&amp;n=196515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постановление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ЗАТО Северск от 16.11.2022 № 2097 «О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б утверждении Административного регламента предоставления 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униципальной услуги «Перераспределение земель и (или)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з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емельных участков, находящихся в государственной или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униципальной собственности, и земельных участков,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н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аходящихся в частной собственности»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следующие изменения: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Административном </w:t>
      </w:r>
      <w:hyperlink r:id="rId14" w:tooltip="https://login.consultant.ru/link/?req=doc&amp;base=RLAW091&amp;n=196515&amp;dst=100601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регламенте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предоставления муниципальной услуги «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Перераспределение земель и (или)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з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емельных участков, находящихся в государственной или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униципальной собственности, и земельных участков,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н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аходящихся в частной собственности»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(далее - Административный регламент),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утвержденном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указанным постановлением: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1) </w:t>
      </w:r>
      <w:hyperlink r:id="rId15" w:tooltip="https://login.consultant.ru/link/?req=doc&amp;base=RLAW091&amp;n=196515&amp;dst=100448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пункт 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20 изложить в следующей редакции: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«</w:t>
      </w:r>
      <w:bookmarkStart w:id="0" w:name="undefined"/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bookmarkEnd w:id="0"/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20. Для получения муниципальной услуги заявитель представляет: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1) заявление о предоставлении муниципальной услуги по </w:t>
      </w:r>
      <w:hyperlink w:tooltip="#P762" w:anchor="P762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форме 5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заявлении также указывается один из следующих способов направления результата предоставления муниципальной услуги: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а) в форме электронного документа в личном кабинете на ЕПГУ;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б) на бумажном носителе в виде распечатанного экземпляра электронного документа в Уполномоченном органе, многофункциональном центре;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2) документ, удостоверяющий личность заявителя, представителя заявителя.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случае направления заявления посредством ЕПГУ сведения из документа, удостоверяющего личность заявителя, представителя заявителя формируются при подтверждении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учетной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записи в Единой системе идентификац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ии и ау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тентификации (далее - ЕСИА) из состава соответствующих данных указанной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учетной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записи и могут быть проверены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путем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направления запроса с использованием системы межведомственного электронного взаимодействия.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случае если заявление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подается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представителем заявителя, дополнительно представляется документ, подтверждающий полномочия представителя заявителя действовать от имени заявителя.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Документ, подтверждающий полномочия представителя заявителя, выданный юридическим лицом, должен быть подписан усиленной квалифицированной электронной подписью уполномоченного лица, выдавшего документ.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Документ, подтверждающий полномочия представителя заявителя, выданный индивидуальным предпринимателем, должен быть подписан усиленной квалифицированной электронной подписью индивидуального предпринимателя.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Документ, подтверждающий полномочия представителя заявителя, выданный нотариусом, должен быть подписан усиленной квалификационной электронной подписью нотариуса, в иных случаях - простой электронной подписью;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3) схему расположения земельного участка (если отсутствует проект межевания территории);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4) согласие землепользователей, землевладельцев, арендаторов на перераспределение земельных участков.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случае если права собственности на исходные земельные участки ограничены, требуется представить согласие землепользователей, землевладельцев, арендаторов на перераспределение земельных участков;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5) согласие залогодержателя на перераспределение земельных участков;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случае если права собственности на такой земельный участок обременены залогом, требуется представить согласие залогодержателей на перераспределение земельных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участков;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6) правоустанавливающий документ на земельный участок (в случае, если право собственности не зарегистрировано в Едином государственном реестре недвижимости);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7) заверенный перевод на русский язык документов о государственной регистрации юридического лица.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В случае если заявителем является иностранное юридическое лицо, необходимо представить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8) выписку из Единого государственного реестра недвижимости о земельном участке, образуемом в результате перераспределения (представляется после государственного кадастрового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учета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земельного участка, образуемого в результате перераспределения);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none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ff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9) 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согласие на обработку персональных данных по прилагаемой форме 7.</w:t>
      </w:r>
      <w:r>
        <w:rPr>
          <w:rFonts w:ascii="Times New Roman" w:hAnsi="Times New Roman" w:cs="Times New Roman"/>
          <w:color w:val="ff0000" w:themeColor="text1"/>
          <w:sz w:val="24"/>
          <w:szCs w:val="24"/>
        </w:rPr>
      </w:r>
      <w:r>
        <w:rPr>
          <w:rFonts w:ascii="Times New Roman" w:hAnsi="Times New Roman" w:cs="Times New Roman"/>
          <w:color w:val="ff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По желанию заявите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ля в заявлении могут быть указаны номера телефонов, факсов, адреса электронной почты заявителя, его представителя, реквизиты банковского счета заявителя, идентификационный номер налогоплательщика и иные сведения, имеющие значение для рассмотрения заявления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.»;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2)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hyperlink r:id="rId16" w:tooltip="https://login.consultant.ru/link/?req=doc&amp;base=RLAW091&amp;n=196515&amp;dst=100448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пункт 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28 изложить в следующей редакции: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none"/>
        </w:rPr>
        <w:t xml:space="preserve">«</w:t>
      </w:r>
      <w:r>
        <w:rPr>
          <w:color w:val="000000" w:themeColor="text1"/>
        </w:rPr>
      </w:r>
      <w:bookmarkStart w:id="0" w:name="undefined"/>
      <w:r>
        <w:rPr>
          <w:color w:val="000000" w:themeColor="text1"/>
        </w:rPr>
      </w:r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28. Основания для отказа в предоставлении муниципальной услуги: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 заявление о перераспределении земельных участков подано в случаях, не предусмотренных </w:t>
      </w:r>
      <w:hyperlink r:id="rId17" w:tooltip="https://login.consultant.ru/link/?req=doc&amp;base=LAW&amp;n=533477&amp;dst=976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пунктом 1 статьи 39.28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не представлено в письменной форме согласие лиц, указанных в </w:t>
      </w:r>
      <w:hyperlink r:id="rId18" w:tooltip="https://login.consultant.ru/link/?req=doc&amp;base=LAW&amp;n=533477&amp;dst=1254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пункте 4 статьи 11.2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Федерации, если земельные участки, которые предлагается перераспределить, обременены правами указанных лиц;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 на земельном участке, на который возникает право 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астной собственности, в результате перераспределения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собственности, будут расположены здание, сооружение, объект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незавершенного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строительства, находящиеся в государственной или муниципальной собственности, в собственности других граждан или юридических лиц, за исключением сооружения (в том числе сооружения, строительство которого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 завершено),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размещение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которого допускается на основании сервитута, публичного сервитута, или объекта,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размещенного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соответствии с </w:t>
      </w:r>
      <w:hyperlink r:id="rId19" w:tooltip="https://login.consultant.ru/link/?req=doc&amp;base=LAW&amp;n=533477&amp;dst=2012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пунктом 3 статьи 39.36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 проектом межевания территории или схемой расположения земельного участка предусматривается перераспределение земельного участка, находящегося в частной собственности, и земель и (или) земельных участков, находящ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ихся в государственной или муниципальной собственности и изъятых из оборота или ограниченных в обороте, за исключением случаев, если такое перераспределение осуществляется в соответствии с проектом межевания территории с земельными участками, указанными в </w:t>
      </w:r>
      <w:hyperlink r:id="rId20" w:tooltip="https://login.consultant.ru/link/?req=doc&amp;base=LAW&amp;n=533477&amp;dst=404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подпункте 7 пункта 5 статьи</w:t>
        </w:r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27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 образование земельного участка или земельных участков предусматривается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путем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перераспределения земельного участка, находящегося в частной собственности, и земель и (или) земельного участка, находящихся в государственной или муниципальной собственности и зарезервированных для государственных или муниципальных нужд;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 проектом межевания территории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схемой расположения земельного участка предусматривается перераспределение земельного участка, находящегося в частной собственности, и земельного участка, находящегося в государственной или муниципальной собственности и являющегося предметом аукциона,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извещение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проведении которого размещено в соответствии с </w:t>
      </w:r>
      <w:hyperlink r:id="rId21" w:tooltip="https://login.consultant.ru/link/?req=doc&amp;base=LAW&amp;n=533477&amp;dst=652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пунктом 19 статьи 39.11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Федерации, либо в отношении такого земельного участка принято решение о предварительном согласовании его предоставления, срок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действия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которого не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истек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7) образование земельного участка или земельных участков предусматривается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путем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перераспределения земельного участка, находящегося в частной собственности, 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 и (или) земельных участков, которые находятся в государственной или муниципальной соб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ственности и в отношении которых подано заявление о предварительном согласовании предоставления земельного участка или заявление о предоставлении земельного участка и не принято решение об отказе в этом предварительном согласовании или этом предоставлении;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8) в результате перераспределения земельных участков площадь земельного участка, на который возникает право частной собственности, будет превышать установленные предельные максимальные размеры земельных участков;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9) образование земельного участка или земельных участков предусматривается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путем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перераспределения земельного участка, находящегося в частной собственности, и земель, из которых возможно образовать самостоятельный земельный участок без нарушения требований, предусмотренных </w:t>
      </w:r>
      <w:hyperlink r:id="rId22" w:tooltip="https://login.consultant.ru/link/?req=doc&amp;base=LAW&amp;n=533477&amp;dst=165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статьей</w:t>
        </w:r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11.9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Федерации, за исключением случаев перераспределения земельных участков в соответствии с </w:t>
      </w:r>
      <w:hyperlink r:id="rId23" w:tooltip="https://login.consultant.ru/link/?req=doc&amp;base=LAW&amp;n=533477&amp;dst=977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подпунктами 1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24" w:tooltip="https://login.consultant.ru/link/?req=doc&amp;base=LAW&amp;n=533477&amp;dst=1494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4 пункта 1 статьи 39.28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10) границы земельного участка, находящегося в частной собственности, подлежат уточнению в соответствии с Федеральным </w:t>
      </w:r>
      <w:hyperlink r:id="rId25" w:tooltip="https://login.consultant.ru/link/?req=doc&amp;base=LAW&amp;n=511746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13 июля 2015 года № 218-ФЗ "О государственной регистрации недвижимости";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ff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11) несоответствие схемы расположения земельного участка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форме, формату или требованиям к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подготовке, которые установлены в соответствии с </w:t>
      </w:r>
      <w:hyperlink r:id="rId26" w:tooltip="https://login.consultant.ru/link/?req=doc&amp;base=LAW&amp;n=533477&amp;dst=360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пунктом 12 статьи 11.10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Федерации;</w:t>
      </w:r>
      <w:r>
        <w:rPr>
          <w:rFonts w:ascii="Times New Roman" w:hAnsi="Times New Roman" w:cs="Times New Roman"/>
          <w:color w:val="ff0000" w:themeColor="text1"/>
          <w:sz w:val="24"/>
          <w:szCs w:val="24"/>
        </w:rPr>
      </w:r>
      <w:r>
        <w:rPr>
          <w:rFonts w:ascii="Times New Roman" w:hAnsi="Times New Roman" w:cs="Times New Roman"/>
          <w:color w:val="ff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12)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приложенная к заявлению о перераспределении земельных участков схема расположения земельного участка разработана с нарушением требований к образуемым земельным участкам,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предусмотренных </w:t>
      </w:r>
      <w:hyperlink r:id="rId27" w:tooltip="https://login.consultant.ru/link/?req=doc&amp;base=LAW&amp;n=533477&amp;dst=165" w:history="1"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статьей</w:t>
        </w:r>
        <w:r>
          <w:rPr>
            <w:rFonts w:ascii="Times New Roman" w:hAnsi="Times New Roman" w:cs="Times New Roman"/>
            <w:color w:val="000000" w:themeColor="text1"/>
            <w:sz w:val="24"/>
            <w:szCs w:val="24"/>
          </w:rPr>
          <w:t xml:space="preserve"> 11.9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Земельного кодекса Российской Федерации,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не соответствует утвержденным проекту планировки территории, землеустроительной доку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ментации, положению об особо охраняемой природной территории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13)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расположение земельного участка, образование которого предусмотрено схемой расположения земельного участка, в границах территории, для которой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утвержден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проект межевания территории;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результате перераспределения зем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собственности, в случае, предусмотренном подпунктом 3.1 пункта 1 статьи 39.28 Земельного кодекса Российской Федерации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площадь исходного земельного участка, находящегося в частной собственности, увеличивается более чем на одну тысячу квадратных метров, за исключением случаев, если такое перераспределение осуществляется в соответствии с утвержденным проекто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 межевания территории или при перераспределении земельных участков сельскохозяйственного назначения, оборот которых регулируется Федеральным законом от 24.07.2002 № 101-ФЗ «Об обороте земель сельскохозяйственного назначения»;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88"/>
        <w:ind w:left="0" w:right="0" w:firstLine="709"/>
        <w:jc w:val="both"/>
        <w:spacing w:line="283" w:lineRule="atLeast"/>
        <w:rPr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15) предусматривается перераспределение по основанию, предусмотренному подпунктом 3.1 пункта 1 статьи 39.28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Земельного кодекса Российской Федерации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земе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льного участка, находящегося в частной собственности, который ранее был образован в результате перераспределения по указанном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основанию земельного участка, находящегося в частной собственности, и земель и (или) земельных участков, находящихся в государственной или муниципальной собственности;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16) предусматривается перераспределение по основанию, предусмотренному подпунктом 3.1 пункта 1 статьи 39.28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Земельного кодекса Российской Федерации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земельного участка, находящегося в частной собственности, образованного в результате раздела или объединения из земельного участк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а, указанного в подпункте 15 пункта 28 Административного регламента;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17) 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аявление о предоставлении услуги подано заявителем, не являющимся собственником земельного участка, который предполагается перераспределить с земельным участком, находящимся в государственной (муниципальной) собственности;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18) получен отказ в согласовании схемы расположения земельного участка от органа исполнительной власти субъекта Российской Федерации, уполномоченного в области лесных отношений;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19) п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лощадь земельного участка, на который возника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ет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право частной собственности, превышает площадь такого земельного участка, указанную в схеме расположения земельного участка или проекте межевания территории, в соответствии с которыми такой земельный участок был образован, более чем на десять процентов.»;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3) </w:t>
      </w:r>
      <w:hyperlink r:id="rId28" w:tooltip="https://login.consultant.ru/link/?req=doc&amp;base=RLAW091&amp;n=196515&amp;dst=100601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дополнить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формой 7 согласно </w:t>
      </w:r>
      <w:hyperlink w:tooltip="#P54" w:anchor="P54" w:history="1">
        <w:r>
          <w:rPr>
            <w:rFonts w:ascii="Times New Roman" w:hAnsi="Times New Roman" w:eastAsia="Times New Roman" w:cs="Times New Roman"/>
            <w:color w:val="000000" w:themeColor="text1"/>
            <w:sz w:val="24"/>
            <w:szCs w:val="24"/>
          </w:rPr>
          <w:t xml:space="preserve">приложению</w:t>
        </w:r>
      </w:hyperlink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 к настоящему постановлению.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pStyle w:val="988"/>
        <w:ind w:left="0" w:right="0" w:firstLine="709"/>
        <w:jc w:val="both"/>
        <w:spacing w:line="283" w:lineRule="atLeast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2. Управлению имущественных отношений Админист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рации ЗАТО Северск разместить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(https://зато-северск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.р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ф) и внести изменение в Реестр муниципа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льных услуг (функций) городского округа ЗАТО Северск Томской области.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3. Опу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бликовать постановление в средстве массовой информации "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«Интернет» (https://зато-северск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.р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ф)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/>
      <w:bookmarkStart w:id="1" w:name="СодержаниеКонец"/>
      <w:r/>
      <w:bookmarkEnd w:id="1"/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blPrEx/>
        <w:trPr/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4860" w:type="dxa"/>
            <w:textDirection w:val="lrTb"/>
            <w:noWrap w:val="false"/>
          </w:tcPr>
          <w:p>
            <w:pPr>
              <w:jc w:val="right"/>
              <w:tabs>
                <w:tab w:val="left" w:pos="2303" w:leader="none"/>
              </w:tabs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calcOnExit w:val="false"/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 xml:space="preserve"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tabs>
          <w:tab w:val="left" w:pos="930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7" w:h="16840" w:orient="portrait"/>
      <w:pgMar w:top="1134" w:right="567" w:bottom="966" w:left="1701" w:header="567" w:footer="45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Courier New">
    <w:panose1 w:val="020703090202050204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rPr>
        <w:sz w:val="16"/>
      </w:rPr>
    </w:pPr>
    <w:r>
      <w:t xml:space="preserve">Внутренний номер: 0377596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80"/>
      <w:rPr>
        <w:sz w:val="16"/>
      </w:rPr>
    </w:pPr>
    <w:r>
      <w:t xml:space="preserve">Внутренний номер: 0377596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521384897"/>
      <w:docPartObj>
        <w:docPartGallery w:val="Page Numbers (Top of Page)"/>
        <w:docPartUnique w:val="true"/>
      </w:docPartObj>
      <w:rPr/>
    </w:sdtPr>
    <w:sdtContent>
      <w:p>
        <w:pPr>
          <w:pStyle w:val="979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PAGE   \* MERGEFORMAT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</w:rPr>
          <w:t xml:space="preserve">2</w:t>
        </w:r>
        <w:r>
          <w:rPr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  <w:p>
    <w:pPr>
      <w:pStyle w:val="97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22314936"/>
      <w:docPartObj>
        <w:docPartGallery w:val="Page Numbers (Top of Page)"/>
        <w:docPartUnique w:val="true"/>
      </w:docPartObj>
      <w:rPr/>
    </w:sdt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</w:rPr>
          <mc:AlternateContent>
            <mc:Choice Requires="wpg">
              <w:drawing>
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2834005</wp:posOffset>
                  </wp:positionH>
                  <wp:positionV relativeFrom="paragraph">
                    <wp:posOffset>-9525</wp:posOffset>
                  </wp:positionV>
                  <wp:extent cx="530225" cy="664845"/>
                  <wp:effectExtent l="0" t="0" r="3175" b="1905"/>
                  <wp:wrapThrough wrapText="bothSides">
                    <wp:wrapPolygon edited="1">
                      <wp:start x="0" y="0"/>
                      <wp:lineTo x="0" y="21043"/>
                      <wp:lineTo x="20953" y="21043"/>
                      <wp:lineTo x="20953" y="0"/>
                      <wp:lineTo x="0" y="0"/>
                    </wp:wrapPolygon>
                  </wp:wrapThrough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/>
                          </pic:cNvPicPr>
                          <pic:nvPr/>
                        </pic:nvPicPr>
                        <pic:blipFill>
                          <a:blip r:embed="rId1">
                            <a:lum bright="-6000" contrast="18000"/>
                          </a:blip>
                          <a:stretch/>
                        </pic:blipFill>
                        <pic:spPr bwMode="auto">
                          <a:xfrm>
                            <a:off x="0" y="0"/>
                            <a:ext cx="53022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0" o:spid="_x0000_s0" type="#_x0000_t75" style="position:absolute;z-index:251659264;o:allowoverlap:true;o:allowincell:false;mso-position-horizontal-relative:text;margin-left:223.15pt;mso-position-horizontal:absolute;mso-position-vertical-relative:text;margin-top:-0.75pt;mso-position-vertical:absolute;width:41.75pt;height:52.35pt;mso-wrap-distance-left:9.00pt;mso-wrap-distance-top:0.00pt;mso-wrap-distance-right:9.00pt;mso-wrap-distance-bottom:0.00pt;" wrapcoords="0 0 0 97421 97005 97421 97005 0 0 0" stroked="f">
                  <v:path textboxrect="0,0,0,0"/>
                  <w10:wrap type="through"/>
                  <v:imagedata r:id="rId1" o:title=""/>
                </v:shape>
              </w:pict>
            </mc:Fallback>
          </mc:AlternateContent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  <w:b/>
          </w:rPr>
        </w:r>
        <w:r>
          <w:rPr>
            <w:rFonts w:ascii="Times New Roman" w:hAnsi="Times New Roman"/>
            <w:b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  <w:r>
          <w:rPr>
            <w:rFonts w:ascii="Times New Roman" w:hAnsi="Times New Roman"/>
            <w:b/>
            <w:sz w:val="24"/>
          </w:rPr>
        </w:r>
      </w:p>
      <w:p>
        <w:pPr>
          <w:pStyle w:val="972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АДМИНИСТРАЦИЯ ЗАТО СЕВЕРСК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pStyle w:val="972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 xml:space="preserve">ПОСТАНОВЛЕНИЕ</w:t>
        </w:r>
        <w:r>
          <w:rPr>
            <w:rFonts w:ascii="Times New Roman" w:hAnsi="Times New Roman"/>
            <w:szCs w:val="28"/>
          </w:rPr>
        </w:r>
        <w:r>
          <w:rPr>
            <w:rFonts w:ascii="Times New Roman" w:hAnsi="Times New Roman"/>
            <w:szCs w:val="28"/>
          </w:rPr>
        </w:r>
      </w:p>
      <w:p>
        <w:pPr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  <w:tbl>
        <w:tblPr>
          <w:tblStyle w:val="982"/>
          <w:tblW w:w="0" w:type="auto"/>
          <w:tblInd w:w="108" w:type="dxa"/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ook w:val="01E0" w:firstRow="1" w:lastRow="1" w:firstColumn="1" w:lastColumn="1" w:noHBand="0" w:noVBand="0"/>
        </w:tblPr>
        <w:tblGrid>
          <w:gridCol w:w="2339"/>
          <w:gridCol w:w="5573"/>
          <w:gridCol w:w="1619"/>
        </w:tblGrid>
        <w:tr>
          <w:tblPrEx/>
          <w:trPr/>
          <w:tc>
            <w:tcPr>
              <w:tcBorders>
                <w:bottom w:val="single" w:color="auto" w:sz="4" w:space="0"/>
              </w:tcBorders>
              <w:tcW w:w="2340" w:type="dxa"/>
              <w:textDirection w:val="lrTb"/>
              <w:noWrap w:val="false"/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W w:w="5580" w:type="dxa"/>
              <w:textDirection w:val="lrTb"/>
              <w:noWrap w:val="false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  <w:tc>
            <w:tcPr>
              <w:tcBorders>
                <w:bottom w:val="single" w:color="auto" w:sz="4" w:space="0"/>
              </w:tcBorders>
              <w:tcW w:w="1620" w:type="dxa"/>
              <w:textDirection w:val="lrTb"/>
              <w:noWrap w:val="false"/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  <w:r>
                <w:rPr>
                  <w:rFonts w:ascii="Times New Roman" w:hAnsi="Times New Roman"/>
                  <w:sz w:val="24"/>
                  <w:szCs w:val="24"/>
                </w:rPr>
              </w:r>
            </w:p>
          </w:tc>
        </w:tr>
      </w:tbl>
      <w:p>
        <w:pPr>
          <w:pStyle w:val="972"/>
          <w:spacing w:before="120"/>
          <w:rPr>
            <w:szCs w:val="32"/>
          </w:rPr>
        </w:pPr>
        <w:r>
          <w:rPr>
            <w:szCs w:val="32"/>
          </w:rPr>
        </w:r>
        <w:r>
          <w:rPr>
            <w:szCs w:val="32"/>
          </w:rPr>
        </w:r>
        <w:r>
          <w:rPr>
            <w:szCs w:val="32"/>
          </w:rPr>
        </w:r>
      </w:p>
      <w:p>
        <w:pPr>
          <w:pStyle w:val="979"/>
          <w:jc w:val="center"/>
          <w:rPr>
            <w:sz w:val="24"/>
          </w:rPr>
        </w:pPr>
        <w:r>
          <w:rPr>
            <w:sz w:val="24"/>
          </w:rPr>
        </w:r>
        <w:r>
          <w:rPr>
            <w:sz w:val="24"/>
          </w:rPr>
        </w:r>
        <w:r>
          <w:rPr>
            <w:sz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 w:edit="form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01">
    <w:name w:val="Heading 1 Char"/>
    <w:basedOn w:val="974"/>
    <w:link w:val="972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802">
    <w:name w:val="Heading 2"/>
    <w:basedOn w:val="971"/>
    <w:next w:val="971"/>
    <w:link w:val="803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803">
    <w:name w:val="Heading 2 Char"/>
    <w:basedOn w:val="974"/>
    <w:link w:val="802"/>
    <w:uiPriority w:val="9"/>
    <w:rPr>
      <w:rFonts w:ascii="Liberation Sans" w:hAnsi="Liberation Sans" w:eastAsia="Liberation Sans" w:cs="Liberation Sans"/>
      <w:sz w:val="34"/>
    </w:rPr>
  </w:style>
  <w:style w:type="paragraph" w:styleId="804">
    <w:name w:val="Heading 3"/>
    <w:basedOn w:val="971"/>
    <w:next w:val="971"/>
    <w:link w:val="80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805">
    <w:name w:val="Heading 3 Char"/>
    <w:basedOn w:val="974"/>
    <w:link w:val="804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806">
    <w:name w:val="Heading 4 Char"/>
    <w:basedOn w:val="974"/>
    <w:link w:val="973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807">
    <w:name w:val="Heading 5"/>
    <w:basedOn w:val="971"/>
    <w:next w:val="971"/>
    <w:link w:val="808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808">
    <w:name w:val="Heading 5 Char"/>
    <w:basedOn w:val="974"/>
    <w:link w:val="80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809">
    <w:name w:val="Heading 6"/>
    <w:basedOn w:val="971"/>
    <w:next w:val="971"/>
    <w:link w:val="810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810">
    <w:name w:val="Heading 6 Char"/>
    <w:basedOn w:val="974"/>
    <w:link w:val="80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811">
    <w:name w:val="Heading 7"/>
    <w:basedOn w:val="971"/>
    <w:next w:val="971"/>
    <w:link w:val="81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812">
    <w:name w:val="Heading 7 Char"/>
    <w:basedOn w:val="974"/>
    <w:link w:val="811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813">
    <w:name w:val="Heading 8"/>
    <w:basedOn w:val="971"/>
    <w:next w:val="971"/>
    <w:link w:val="814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814">
    <w:name w:val="Heading 8 Char"/>
    <w:basedOn w:val="974"/>
    <w:link w:val="813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815">
    <w:name w:val="Heading 9"/>
    <w:basedOn w:val="971"/>
    <w:next w:val="971"/>
    <w:link w:val="816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816">
    <w:name w:val="Heading 9 Char"/>
    <w:basedOn w:val="974"/>
    <w:link w:val="815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817">
    <w:name w:val="List Paragraph"/>
    <w:basedOn w:val="971"/>
    <w:uiPriority w:val="34"/>
    <w:qFormat/>
    <w:pPr>
      <w:contextualSpacing/>
      <w:ind w:left="720"/>
    </w:pPr>
  </w:style>
  <w:style w:type="paragraph" w:styleId="818">
    <w:name w:val="No Spacing"/>
    <w:uiPriority w:val="1"/>
    <w:qFormat/>
    <w:pPr>
      <w:spacing w:before="0" w:after="0" w:line="240" w:lineRule="auto"/>
    </w:pPr>
  </w:style>
  <w:style w:type="paragraph" w:styleId="819">
    <w:name w:val="Title"/>
    <w:basedOn w:val="971"/>
    <w:next w:val="971"/>
    <w:link w:val="82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20">
    <w:name w:val="Title Char"/>
    <w:basedOn w:val="974"/>
    <w:link w:val="819"/>
    <w:uiPriority w:val="10"/>
    <w:rPr>
      <w:sz w:val="48"/>
      <w:szCs w:val="48"/>
    </w:rPr>
  </w:style>
  <w:style w:type="paragraph" w:styleId="821">
    <w:name w:val="Subtitle"/>
    <w:basedOn w:val="971"/>
    <w:next w:val="971"/>
    <w:link w:val="822"/>
    <w:uiPriority w:val="11"/>
    <w:qFormat/>
    <w:pPr>
      <w:spacing w:before="200" w:after="200"/>
    </w:pPr>
    <w:rPr>
      <w:sz w:val="24"/>
      <w:szCs w:val="24"/>
    </w:rPr>
  </w:style>
  <w:style w:type="character" w:styleId="822">
    <w:name w:val="Subtitle Char"/>
    <w:basedOn w:val="974"/>
    <w:link w:val="821"/>
    <w:uiPriority w:val="11"/>
    <w:rPr>
      <w:sz w:val="24"/>
      <w:szCs w:val="24"/>
    </w:rPr>
  </w:style>
  <w:style w:type="paragraph" w:styleId="823">
    <w:name w:val="Quote"/>
    <w:basedOn w:val="971"/>
    <w:next w:val="971"/>
    <w:link w:val="824"/>
    <w:uiPriority w:val="29"/>
    <w:qFormat/>
    <w:pPr>
      <w:ind w:left="720" w:right="720"/>
    </w:pPr>
    <w:rPr>
      <w:i/>
    </w:rPr>
  </w:style>
  <w:style w:type="character" w:styleId="824">
    <w:name w:val="Quote Char"/>
    <w:link w:val="823"/>
    <w:uiPriority w:val="29"/>
    <w:rPr>
      <w:i/>
    </w:rPr>
  </w:style>
  <w:style w:type="paragraph" w:styleId="825">
    <w:name w:val="Intense Quote"/>
    <w:basedOn w:val="971"/>
    <w:next w:val="971"/>
    <w:link w:val="82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26">
    <w:name w:val="Intense Quote Char"/>
    <w:link w:val="825"/>
    <w:uiPriority w:val="30"/>
    <w:rPr>
      <w:i/>
    </w:rPr>
  </w:style>
  <w:style w:type="character" w:styleId="827">
    <w:name w:val="Header Char"/>
    <w:basedOn w:val="974"/>
    <w:link w:val="979"/>
    <w:uiPriority w:val="99"/>
  </w:style>
  <w:style w:type="character" w:styleId="828">
    <w:name w:val="Footer Char"/>
    <w:basedOn w:val="974"/>
    <w:link w:val="980"/>
    <w:uiPriority w:val="99"/>
  </w:style>
  <w:style w:type="paragraph" w:styleId="829">
    <w:name w:val="Caption"/>
    <w:basedOn w:val="971"/>
    <w:next w:val="971"/>
    <w:link w:val="83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30">
    <w:name w:val="Caption Char"/>
    <w:basedOn w:val="974"/>
    <w:link w:val="829"/>
    <w:uiPriority w:val="35"/>
    <w:rPr>
      <w:b/>
      <w:bCs/>
      <w:color w:val="4f81bd" w:themeColor="accent1"/>
      <w:sz w:val="18"/>
      <w:szCs w:val="18"/>
    </w:rPr>
  </w:style>
  <w:style w:type="table" w:styleId="831">
    <w:name w:val="Table Grid Light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32">
    <w:name w:val="Plain Table 1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33">
    <w:name w:val="Plain Table 2"/>
    <w:basedOn w:val="9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34">
    <w:name w:val="Plain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35">
    <w:name w:val="Plain Table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Plain Table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37">
    <w:name w:val="Grid Table 1 Light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Grid Table 1 Light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Grid Table 1 Light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Grid Table 1 Light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Grid Table 1 Light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Grid Table 1 Light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Grid Table 1 Light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Grid Table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2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2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2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Grid Table 2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Grid Table 2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Grid Table 2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Grid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3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3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3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3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3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3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Grid Table 4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59">
    <w:name w:val="Grid Table 4 - Accent 1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60">
    <w:name w:val="Grid Table 4 - Accent 2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Grid Table 4 - Accent 3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62">
    <w:name w:val="Grid Table 4 - Accent 4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Grid Table 4 - Accent 5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64">
    <w:name w:val="Grid Table 4 - Accent 6"/>
    <w:basedOn w:val="9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65">
    <w:name w:val="Grid Table 5 Dark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6">
    <w:name w:val="Grid Table 5 Dark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7">
    <w:name w:val="Grid Table 5 Dark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8">
    <w:name w:val="Grid Table 5 Dark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9">
    <w:name w:val="Grid Table 5 Dark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0">
    <w:name w:val="Grid Table 5 Dark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71">
    <w:name w:val="Grid Table 5 Dark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72">
    <w:name w:val="Grid Table 6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73">
    <w:name w:val="Grid Table 6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74">
    <w:name w:val="Grid Table 6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75">
    <w:name w:val="Grid Table 6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76">
    <w:name w:val="Grid Table 6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77">
    <w:name w:val="Grid Table 6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78">
    <w:name w:val="Grid Table 6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79">
    <w:name w:val="Grid Table 7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>
    <w:name w:val="Grid Table 7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>
    <w:name w:val="Grid Table 7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>
    <w:name w:val="Grid Table 7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>
    <w:name w:val="Grid Table 7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>
    <w:name w:val="Grid Table 7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>
    <w:name w:val="Grid Table 7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>
    <w:name w:val="List Table 1 Light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>
    <w:name w:val="List Table 1 Light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>
    <w:name w:val="List Table 1 Light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>
    <w:name w:val="List Table 1 Light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>
    <w:name w:val="List Table 1 Light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>
    <w:name w:val="List Table 1 Light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>
    <w:name w:val="List Table 1 Light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>
    <w:name w:val="List Table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94">
    <w:name w:val="List Table 2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95">
    <w:name w:val="List Table 2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96">
    <w:name w:val="List Table 2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97">
    <w:name w:val="List Table 2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98">
    <w:name w:val="List Table 2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99">
    <w:name w:val="List Table 2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900">
    <w:name w:val="List Table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>
    <w:name w:val="List Table 3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>
    <w:name w:val="List Table 3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>
    <w:name w:val="List Table 3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>
    <w:name w:val="List Table 3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5">
    <w:name w:val="List Table 3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6">
    <w:name w:val="List Table 3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7">
    <w:name w:val="List Table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8">
    <w:name w:val="List Table 4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9">
    <w:name w:val="List Table 4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0">
    <w:name w:val="List Table 4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1">
    <w:name w:val="List Table 4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2">
    <w:name w:val="List Table 4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3">
    <w:name w:val="List Table 4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4">
    <w:name w:val="List Table 5 Dark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5">
    <w:name w:val="List Table 5 Dark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6">
    <w:name w:val="List Table 5 Dark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7">
    <w:name w:val="List Table 5 Dark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8">
    <w:name w:val="List Table 5 Dark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19">
    <w:name w:val="List Table 5 Dark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0">
    <w:name w:val="List Table 5 Dark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921">
    <w:name w:val="List Table 6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922">
    <w:name w:val="List Table 6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923">
    <w:name w:val="List Table 6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924">
    <w:name w:val="List Table 6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925">
    <w:name w:val="List Table 6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926">
    <w:name w:val="List Table 6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927">
    <w:name w:val="List Table 6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28">
    <w:name w:val="List Table 7 Colorful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29">
    <w:name w:val="List Table 7 Colorful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30">
    <w:name w:val="List Table 7 Colorful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31">
    <w:name w:val="List Table 7 Colorful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32">
    <w:name w:val="List Table 7 Colorful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33">
    <w:name w:val="List Table 7 Colorful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34">
    <w:name w:val="List Table 7 Colorful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35">
    <w:name w:val="Lined - Accent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36">
    <w:name w:val="Lined - Accent 1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37">
    <w:name w:val="Lined - Accent 2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38">
    <w:name w:val="Lined - Accent 3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39">
    <w:name w:val="Lined - Accent 4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0">
    <w:name w:val="Lined - Accent 5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1">
    <w:name w:val="Lined - Accent 6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42">
    <w:name w:val="Bordered &amp; Lined - Accent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43">
    <w:name w:val="Bordered &amp; Lined - Accent 1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44">
    <w:name w:val="Bordered &amp; Lined - Accent 2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45">
    <w:name w:val="Bordered &amp; Lined - Accent 3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46">
    <w:name w:val="Bordered &amp; Lined - Accent 4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47">
    <w:name w:val="Bordered &amp; Lined - Accent 5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48">
    <w:name w:val="Bordered &amp; Lined - Accent 6"/>
    <w:basedOn w:val="9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49">
    <w:name w:val="Bordered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50">
    <w:name w:val="Bordered - Accent 1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51">
    <w:name w:val="Bordered - Accent 2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52">
    <w:name w:val="Bordered - Accent 3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53">
    <w:name w:val="Bordered - Accent 4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54">
    <w:name w:val="Bordered - Accent 5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55">
    <w:name w:val="Bordered - Accent 6"/>
    <w:basedOn w:val="9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56">
    <w:name w:val="Footnote Text Char"/>
    <w:link w:val="984"/>
    <w:uiPriority w:val="99"/>
    <w:rPr>
      <w:sz w:val="18"/>
    </w:rPr>
  </w:style>
  <w:style w:type="paragraph" w:styleId="957">
    <w:name w:val="endnote text"/>
    <w:basedOn w:val="971"/>
    <w:link w:val="958"/>
    <w:uiPriority w:val="99"/>
    <w:semiHidden/>
    <w:unhideWhenUsed/>
    <w:pPr>
      <w:spacing w:after="0" w:line="240" w:lineRule="auto"/>
    </w:pPr>
    <w:rPr>
      <w:sz w:val="20"/>
    </w:rPr>
  </w:style>
  <w:style w:type="character" w:styleId="958">
    <w:name w:val="Endnote Text Char"/>
    <w:link w:val="957"/>
    <w:uiPriority w:val="99"/>
    <w:rPr>
      <w:sz w:val="20"/>
    </w:rPr>
  </w:style>
  <w:style w:type="character" w:styleId="959">
    <w:name w:val="endnote reference"/>
    <w:basedOn w:val="974"/>
    <w:uiPriority w:val="99"/>
    <w:semiHidden/>
    <w:unhideWhenUsed/>
    <w:rPr>
      <w:vertAlign w:val="superscript"/>
    </w:rPr>
  </w:style>
  <w:style w:type="paragraph" w:styleId="960">
    <w:name w:val="toc 1"/>
    <w:basedOn w:val="971"/>
    <w:next w:val="971"/>
    <w:uiPriority w:val="39"/>
    <w:unhideWhenUsed/>
    <w:pPr>
      <w:ind w:left="0" w:right="0" w:firstLine="0"/>
      <w:spacing w:after="57"/>
    </w:pPr>
  </w:style>
  <w:style w:type="paragraph" w:styleId="961">
    <w:name w:val="toc 2"/>
    <w:basedOn w:val="971"/>
    <w:next w:val="971"/>
    <w:uiPriority w:val="39"/>
    <w:unhideWhenUsed/>
    <w:pPr>
      <w:ind w:left="283" w:right="0" w:firstLine="0"/>
      <w:spacing w:after="57"/>
    </w:pPr>
  </w:style>
  <w:style w:type="paragraph" w:styleId="962">
    <w:name w:val="toc 3"/>
    <w:basedOn w:val="971"/>
    <w:next w:val="971"/>
    <w:uiPriority w:val="39"/>
    <w:unhideWhenUsed/>
    <w:pPr>
      <w:ind w:left="567" w:right="0" w:firstLine="0"/>
      <w:spacing w:after="57"/>
    </w:pPr>
  </w:style>
  <w:style w:type="paragraph" w:styleId="963">
    <w:name w:val="toc 4"/>
    <w:basedOn w:val="971"/>
    <w:next w:val="971"/>
    <w:uiPriority w:val="39"/>
    <w:unhideWhenUsed/>
    <w:pPr>
      <w:ind w:left="850" w:right="0" w:firstLine="0"/>
      <w:spacing w:after="57"/>
    </w:pPr>
  </w:style>
  <w:style w:type="paragraph" w:styleId="964">
    <w:name w:val="toc 5"/>
    <w:basedOn w:val="971"/>
    <w:next w:val="971"/>
    <w:uiPriority w:val="39"/>
    <w:unhideWhenUsed/>
    <w:pPr>
      <w:ind w:left="1134" w:right="0" w:firstLine="0"/>
      <w:spacing w:after="57"/>
    </w:pPr>
  </w:style>
  <w:style w:type="paragraph" w:styleId="965">
    <w:name w:val="toc 6"/>
    <w:basedOn w:val="971"/>
    <w:next w:val="971"/>
    <w:uiPriority w:val="39"/>
    <w:unhideWhenUsed/>
    <w:pPr>
      <w:ind w:left="1417" w:right="0" w:firstLine="0"/>
      <w:spacing w:after="57"/>
    </w:pPr>
  </w:style>
  <w:style w:type="paragraph" w:styleId="966">
    <w:name w:val="toc 7"/>
    <w:basedOn w:val="971"/>
    <w:next w:val="971"/>
    <w:uiPriority w:val="39"/>
    <w:unhideWhenUsed/>
    <w:pPr>
      <w:ind w:left="1701" w:right="0" w:firstLine="0"/>
      <w:spacing w:after="57"/>
    </w:pPr>
  </w:style>
  <w:style w:type="paragraph" w:styleId="967">
    <w:name w:val="toc 8"/>
    <w:basedOn w:val="971"/>
    <w:next w:val="971"/>
    <w:uiPriority w:val="39"/>
    <w:unhideWhenUsed/>
    <w:pPr>
      <w:ind w:left="1984" w:right="0" w:firstLine="0"/>
      <w:spacing w:after="57"/>
    </w:pPr>
  </w:style>
  <w:style w:type="paragraph" w:styleId="968">
    <w:name w:val="toc 9"/>
    <w:basedOn w:val="971"/>
    <w:next w:val="971"/>
    <w:uiPriority w:val="39"/>
    <w:unhideWhenUsed/>
    <w:pPr>
      <w:ind w:left="2268" w:right="0" w:firstLine="0"/>
      <w:spacing w:after="57"/>
    </w:pPr>
  </w:style>
  <w:style w:type="paragraph" w:styleId="969">
    <w:name w:val="TOC Heading"/>
    <w:uiPriority w:val="39"/>
    <w:unhideWhenUsed/>
  </w:style>
  <w:style w:type="paragraph" w:styleId="970">
    <w:name w:val="table of figures"/>
    <w:basedOn w:val="971"/>
    <w:next w:val="971"/>
    <w:uiPriority w:val="99"/>
    <w:unhideWhenUsed/>
    <w:pPr>
      <w:spacing w:after="0" w:afterAutospacing="0"/>
    </w:pPr>
  </w:style>
  <w:style w:type="paragraph" w:styleId="971" w:default="1">
    <w:name w:val="Normal"/>
    <w:qFormat/>
    <w:rPr>
      <w:rFonts w:ascii="Times New Roman CYR" w:hAnsi="Times New Roman CYR"/>
    </w:rPr>
  </w:style>
  <w:style w:type="paragraph" w:styleId="972">
    <w:name w:val="Heading 1"/>
    <w:basedOn w:val="971"/>
    <w:next w:val="971"/>
    <w:qFormat/>
    <w:pPr>
      <w:jc w:val="center"/>
      <w:keepNext/>
      <w:outlineLvl w:val="0"/>
    </w:pPr>
    <w:rPr>
      <w:b/>
      <w:sz w:val="28"/>
    </w:rPr>
  </w:style>
  <w:style w:type="paragraph" w:styleId="973">
    <w:name w:val="Heading 4"/>
    <w:basedOn w:val="971"/>
    <w:next w:val="971"/>
    <w:qFormat/>
    <w:pPr>
      <w:keepNext/>
      <w:spacing w:before="120"/>
      <w:outlineLvl w:val="3"/>
    </w:pPr>
    <w:rPr>
      <w:sz w:val="24"/>
    </w:rPr>
  </w:style>
  <w:style w:type="character" w:styleId="974" w:default="1">
    <w:name w:val="Default Paragraph Font"/>
    <w:uiPriority w:val="1"/>
    <w:semiHidden/>
    <w:unhideWhenUsed/>
  </w:style>
  <w:style w:type="table" w:styleId="9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76" w:default="1">
    <w:name w:val="No List"/>
    <w:uiPriority w:val="99"/>
    <w:semiHidden/>
    <w:unhideWhenUsed/>
  </w:style>
  <w:style w:type="paragraph" w:styleId="977">
    <w:name w:val="Plain Text"/>
    <w:basedOn w:val="971"/>
    <w:rPr>
      <w:rFonts w:ascii="Courier New" w:hAnsi="Courier New" w:cs="Courier New"/>
    </w:rPr>
  </w:style>
  <w:style w:type="character" w:styleId="978">
    <w:name w:val="Hyperlink"/>
    <w:basedOn w:val="974"/>
    <w:rPr>
      <w:color w:val="0000ff"/>
      <w:u w:val="single"/>
    </w:rPr>
  </w:style>
  <w:style w:type="paragraph" w:styleId="979">
    <w:name w:val="Header"/>
    <w:basedOn w:val="971"/>
    <w:link w:val="987"/>
    <w:uiPriority w:val="99"/>
    <w:pPr>
      <w:tabs>
        <w:tab w:val="center" w:pos="4677" w:leader="none"/>
        <w:tab w:val="right" w:pos="9355" w:leader="none"/>
      </w:tabs>
    </w:pPr>
  </w:style>
  <w:style w:type="paragraph" w:styleId="980">
    <w:name w:val="Footer"/>
    <w:basedOn w:val="971"/>
    <w:link w:val="983"/>
    <w:pPr>
      <w:tabs>
        <w:tab w:val="center" w:pos="4677" w:leader="none"/>
        <w:tab w:val="right" w:pos="9355" w:leader="none"/>
      </w:tabs>
    </w:pPr>
  </w:style>
  <w:style w:type="paragraph" w:styleId="981">
    <w:name w:val="Balloon Text"/>
    <w:basedOn w:val="971"/>
    <w:semiHidden/>
    <w:rPr>
      <w:rFonts w:ascii="Tahoma" w:hAnsi="Tahoma" w:cs="Tahoma"/>
      <w:sz w:val="16"/>
      <w:szCs w:val="16"/>
    </w:rPr>
  </w:style>
  <w:style w:type="table" w:styleId="982">
    <w:name w:val="Table Grid"/>
    <w:basedOn w:val="975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83" w:customStyle="1">
    <w:name w:val="Нижний колонтитул Знак"/>
    <w:link w:val="980"/>
    <w:rPr>
      <w:rFonts w:ascii="Times New Roman CYR" w:hAnsi="Times New Roman CYR"/>
    </w:rPr>
  </w:style>
  <w:style w:type="paragraph" w:styleId="984">
    <w:name w:val="footnote text"/>
    <w:basedOn w:val="971"/>
    <w:link w:val="985"/>
    <w:uiPriority w:val="99"/>
    <w:semiHidden/>
    <w:unhideWhenUsed/>
  </w:style>
  <w:style w:type="character" w:styleId="985" w:customStyle="1">
    <w:name w:val="Текст сноски Знак"/>
    <w:basedOn w:val="974"/>
    <w:link w:val="984"/>
    <w:uiPriority w:val="99"/>
    <w:semiHidden/>
    <w:rPr>
      <w:rFonts w:ascii="Times New Roman CYR" w:hAnsi="Times New Roman CYR"/>
    </w:rPr>
  </w:style>
  <w:style w:type="character" w:styleId="986">
    <w:name w:val="footnote reference"/>
    <w:basedOn w:val="974"/>
    <w:uiPriority w:val="99"/>
    <w:semiHidden/>
    <w:unhideWhenUsed/>
    <w:rPr>
      <w:vertAlign w:val="superscript"/>
    </w:rPr>
  </w:style>
  <w:style w:type="character" w:styleId="987" w:customStyle="1">
    <w:name w:val="Верхний колонтитул Знак"/>
    <w:basedOn w:val="974"/>
    <w:link w:val="979"/>
    <w:uiPriority w:val="99"/>
    <w:rPr>
      <w:rFonts w:ascii="Times New Roman CYR" w:hAnsi="Times New Roman CYR"/>
    </w:rPr>
  </w:style>
  <w:style w:type="paragraph" w:styleId="988" w:customStyle="1">
    <w:name w:val="ConsPlusNormal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 CYR" w:hAnsi="Times New Roman CYR" w:eastAsia="Times New Roman" w:cs="Times New Roman CYR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login.consultant.ru/link/?req=doc&amp;base=RLAW091&amp;n=196515" TargetMode="External"/><Relationship Id="rId14" Type="http://schemas.openxmlformats.org/officeDocument/2006/relationships/hyperlink" Target="https://login.consultant.ru/link/?req=doc&amp;base=RLAW091&amp;n=196515&amp;dst=100601" TargetMode="External"/><Relationship Id="rId15" Type="http://schemas.openxmlformats.org/officeDocument/2006/relationships/hyperlink" Target="https://login.consultant.ru/link/?req=doc&amp;base=RLAW091&amp;n=196515&amp;dst=100448" TargetMode="External"/><Relationship Id="rId16" Type="http://schemas.openxmlformats.org/officeDocument/2006/relationships/hyperlink" Target="https://login.consultant.ru/link/?req=doc&amp;base=RLAW091&amp;n=196515&amp;dst=100448" TargetMode="External"/><Relationship Id="rId17" Type="http://schemas.openxmlformats.org/officeDocument/2006/relationships/hyperlink" Target="https://login.consultant.ru/link/?req=doc&amp;base=LAW&amp;n=533477&amp;dst=976" TargetMode="External"/><Relationship Id="rId18" Type="http://schemas.openxmlformats.org/officeDocument/2006/relationships/hyperlink" Target="https://login.consultant.ru/link/?req=doc&amp;base=LAW&amp;n=533477&amp;dst=1254" TargetMode="External"/><Relationship Id="rId19" Type="http://schemas.openxmlformats.org/officeDocument/2006/relationships/hyperlink" Target="https://login.consultant.ru/link/?req=doc&amp;base=LAW&amp;n=533477&amp;dst=2012" TargetMode="External"/><Relationship Id="rId20" Type="http://schemas.openxmlformats.org/officeDocument/2006/relationships/hyperlink" Target="https://login.consultant.ru/link/?req=doc&amp;base=LAW&amp;n=533477&amp;dst=404" TargetMode="External"/><Relationship Id="rId21" Type="http://schemas.openxmlformats.org/officeDocument/2006/relationships/hyperlink" Target="https://login.consultant.ru/link/?req=doc&amp;base=LAW&amp;n=533477&amp;dst=652" TargetMode="External"/><Relationship Id="rId22" Type="http://schemas.openxmlformats.org/officeDocument/2006/relationships/hyperlink" Target="https://login.consultant.ru/link/?req=doc&amp;base=LAW&amp;n=533477&amp;dst=165" TargetMode="External"/><Relationship Id="rId23" Type="http://schemas.openxmlformats.org/officeDocument/2006/relationships/hyperlink" Target="https://login.consultant.ru/link/?req=doc&amp;base=LAW&amp;n=533477&amp;dst=977" TargetMode="External"/><Relationship Id="rId24" Type="http://schemas.openxmlformats.org/officeDocument/2006/relationships/hyperlink" Target="https://login.consultant.ru/link/?req=doc&amp;base=LAW&amp;n=533477&amp;dst=1494" TargetMode="External"/><Relationship Id="rId25" Type="http://schemas.openxmlformats.org/officeDocument/2006/relationships/hyperlink" Target="https://login.consultant.ru/link/?req=doc&amp;base=LAW&amp;n=511746" TargetMode="External"/><Relationship Id="rId26" Type="http://schemas.openxmlformats.org/officeDocument/2006/relationships/hyperlink" Target="https://login.consultant.ru/link/?req=doc&amp;base=LAW&amp;n=533477&amp;dst=360" TargetMode="External"/><Relationship Id="rId27" Type="http://schemas.openxmlformats.org/officeDocument/2006/relationships/hyperlink" Target="https://login.consultant.ru/link/?req=doc&amp;base=LAW&amp;n=533477&amp;dst=165" TargetMode="External"/><Relationship Id="rId28" Type="http://schemas.openxmlformats.org/officeDocument/2006/relationships/hyperlink" Target="https://login.consultant.ru/link/?req=doc&amp;base=RLAW091&amp;n=196515&amp;dst=10060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131E6-D327-476F-9659-9C2BB7A32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Администрация ЗАТО Северск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Kuznetzova</cp:lastModifiedBy>
  <cp:revision>65</cp:revision>
  <dcterms:created xsi:type="dcterms:W3CDTF">2018-11-29T06:08:00Z</dcterms:created>
  <dcterms:modified xsi:type="dcterms:W3CDTF">2026-06-15T08:40:46Z</dcterms:modified>
</cp:coreProperties>
</file>