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6"/>
        <w:ind w:left="6378"/>
        <w:jc w:val="both"/>
        <w:spacing w:before="0" w:beforeAutospacing="0" w:after="227" w:afterAutospacing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26"/>
        <w:ind w:left="637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ind w:left="63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ind w:left="63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_30.06.2026_ №_1304-па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6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ПОРЯДОК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6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реструктуризации</w:t>
      </w:r>
      <w:r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задолженности по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уплате неналоговых платежей в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бюджет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ЗАТО Северск, администрируемых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Управлением имущественных отношений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jc w:val="center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ЗАТО Северск</w:t>
      </w:r>
      <w:r>
        <w:rPr>
          <w:rFonts w:ascii="Times New Roman" w:hAnsi="Times New Roman" w:cs="Times New Roman"/>
          <w:strike/>
          <w:sz w:val="24"/>
          <w:szCs w:val="24"/>
          <w:highlight w:val="white"/>
        </w:rPr>
      </w:r>
      <w:r>
        <w:rPr>
          <w:rFonts w:ascii="Times New Roman" w:hAnsi="Times New Roman" w:cs="Times New Roman"/>
          <w:strike/>
          <w:sz w:val="24"/>
          <w:szCs w:val="24"/>
          <w:highlight w:val="white"/>
        </w:rPr>
      </w:r>
    </w:p>
    <w:p>
      <w:pPr>
        <w:pStyle w:val="9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</w:t>
      </w:r>
      <w:r>
        <w:rPr>
          <w:rFonts w:ascii="Times New Roman" w:hAnsi="Times New Roman" w:cs="Times New Roman"/>
          <w:bCs/>
          <w:sz w:val="24"/>
          <w:szCs w:val="24"/>
        </w:rPr>
        <w:t xml:space="preserve">. ОБЩИЕ ПОЛОЖЕНИЯ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7"/>
        <w:ind w:firstLine="540"/>
        <w:jc w:val="both"/>
        <w:spacing w:before="0" w:beforeAutospacing="0" w:after="0" w:afterAutospacing="0" w:line="288" w:lineRule="atLeast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1. Настоящий Порядок реструктуризации </w:t>
      </w:r>
      <w:r>
        <w:rPr>
          <w:sz w:val="24"/>
          <w:szCs w:val="24"/>
          <w:highlight w:val="white"/>
        </w:rPr>
        <w:t xml:space="preserve">задолженности по уплате неналоговых платежей в бюджет ЗАТО Северск, администрируемых Управлением имущественных отношений Администрации ЗАТО Северск </w:t>
      </w:r>
      <w:r>
        <w:rPr>
          <w:sz w:val="24"/>
          <w:szCs w:val="24"/>
        </w:rPr>
        <w:t xml:space="preserve">(далее –</w:t>
      </w:r>
      <w:r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П</w:t>
      </w:r>
      <w:r>
        <w:rPr>
          <w:sz w:val="24"/>
          <w:szCs w:val="24"/>
        </w:rPr>
        <w:t xml:space="preserve">орядок), определяет основания и условия реструктуризации</w:t>
      </w:r>
      <w:r>
        <w:rPr>
          <w:sz w:val="24"/>
          <w:szCs w:val="24"/>
          <w:highlight w:val="white"/>
        </w:rPr>
        <w:t xml:space="preserve"> задолженности по уплате неналоговых платежей в бюджет ЗАТО Северск, администрируемых Управлением имущественных отношений Администраци</w:t>
      </w:r>
      <w:r>
        <w:rPr>
          <w:sz w:val="24"/>
          <w:szCs w:val="24"/>
          <w:highlight w:val="white"/>
        </w:rPr>
        <w:t xml:space="preserve">и ЗАТО Северск (далее – </w:t>
      </w:r>
      <w:r>
        <w:rPr>
          <w:sz w:val="24"/>
          <w:szCs w:val="24"/>
          <w:highlight w:val="white"/>
        </w:rPr>
        <w:t xml:space="preserve">реструктуризация задолженности), включая принятие решения о предоставлении (отказе в предоставлении) отсрочки или рассрочки, а также критерии, которым должны соответствовать должники, имеющие право на реструктуризацию задолженности.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926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. Управление имущественных отношений 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ЗАТО Северск является уполномоченным органом по 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  <w:lang w:eastAsia="ru-RU"/>
        </w:rPr>
        <w:t xml:space="preserve">реструктуризации задолженности по уплате следующих неналоговых платежей: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1) арендной платы за пользование муниципальным движимым и недвижимым имуществом, находящимся в казне городского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ЗАТО Северск Томской области;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2) арендной платы за пользование земельными участками, государственная собственность на которые не разграничена, земельными участками, находящимися в собственности городского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ЗАТО Северск Томской области;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3) платы за размещение и эксплуатацию рекламных конструкций на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ЗАТО Северск Томской области;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4) платы за размещение и эксплуатацию нестационарных торговых объектов на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ЗАТО Северск Томской области.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3. Реструктуризация задолженности предусматривает предоставление отсрочки или рассрочки по уплате ненал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огового платежа (далее –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отсрочка, рассрочка) путем изменения срока уплаты платежа при наличии оснований, предусмотренных настоящим Порядком, на срок от одного месяца до одного года соответственно с единовременной или поэтапной уплатой суммы задолженности.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4. Реструктуризации не подлежит задолженность, установленная к взысканию на основании решения суда.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bCs/>
          <w:sz w:val="24"/>
          <w:szCs w:val="24"/>
          <w:highlight w:val="white"/>
          <w:lang w:val="en-US"/>
        </w:rPr>
        <w:t xml:space="preserve">II</w:t>
      </w:r>
      <w:r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. ОСНОВАНИЯ И УСЛОВИЯ РЕСТРУКТУРИЗАЦИИ ЗАДОЛЖЕННОСТИ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jc w:val="center"/>
        <w:rPr>
          <w:rFonts w:ascii="Times New Roman" w:hAnsi="Times New Roman" w:cs="Times New Roman"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Cs/>
          <w:sz w:val="24"/>
          <w:szCs w:val="24"/>
          <w:highlight w:val="white"/>
        </w:rPr>
      </w:r>
      <w:r>
        <w:rPr>
          <w:rFonts w:ascii="Times New Roman" w:hAnsi="Times New Roman" w:cs="Times New Roman"/>
          <w:bCs/>
          <w:sz w:val="24"/>
          <w:szCs w:val="24"/>
          <w:highlight w:val="white"/>
        </w:rPr>
      </w:r>
      <w:r>
        <w:rPr>
          <w:rFonts w:ascii="Times New Roman" w:hAnsi="Times New Roman" w:cs="Times New Roman"/>
          <w:bCs/>
          <w:sz w:val="24"/>
          <w:szCs w:val="24"/>
          <w:highlight w:val="whit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5. Реструктуризация задолженности проводится по обязательствам юридических и физических лиц, индивидуальных предпринимателей (далее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–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должник).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6. Основаниями для реструктуризации задолженности являются: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1) причинение должнику ущерба в результате стихийного бедствия, техногенной катастрофы или иных обстоятельств непреодолимой силы, включая землетрясение, навод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нение, ураган, пожар, массовые заболевания (эпидемии), забастовки, военные действия, террористические акты, диверсии, ограничения перевозок, запретные меры государств, запрет торговых операций и другие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обстоятельства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, не зависящие от воли сторон договора;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2) задержка должнику финансирования из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бюджета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ЗАТО Северск или неоплата выполненного муниципального контракта (договора) из бюджета ЗАТО Северск;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3) угроза возникновения признаков несостоятельности (банкротства) должника в случае единовременной уплаты платежа;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4) сезонный характер производства и (или) реализации товаров, выполнения работ, оказания услуг;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5) имущественное положение физического лица (без учета имущества, на которое в соответствии с законодательством Российской Федерации не может быть обращено взыскание) исключает возможность единовременной уплаты неналогового платежа;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6) призыв на военную службу по мобилизации в Вооруженные Силы Российской Федерации в соответствии с </w:t>
      </w:r>
      <w:hyperlink r:id="rId12" w:tooltip="https://login.consultant.ru/link/?req=doc&amp;base=LAW&amp;n=426999&amp;date=19.01.2026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Указом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Президента Российской Федерации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от 21 сентября </w:t>
        <w:br/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2022 года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№ 647 «Об объявлении частичной мобилизации в Российской Федерации», прохождение военной службы по контракту, заключенному в соответствии с </w:t>
      </w:r>
      <w:hyperlink r:id="rId13" w:tooltip="https://login.consultant.ru/link/?req=doc&amp;base=LAW&amp;n=518293&amp;dst=616&amp;field=134&amp;date=19.01.2026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пунктом 7 статьи 38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Федерального закона от 28 марта 1998 года № 53-ФЗ «О воинской обязанности и военной службе», либо заключение контракта о добровольном содействии в выполнении задач, возложенных на Вооруженные Силы Российской Федерации. </w:t>
      </w:r>
      <w:r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r>
    </w:p>
    <w:p>
      <w:pPr>
        <w:pStyle w:val="927"/>
        <w:ind w:firstLine="540"/>
        <w:jc w:val="both"/>
        <w:spacing w:before="0" w:beforeAutospacing="0" w:after="0" w:afterAutospacing="0" w:line="288" w:lineRule="atLeast"/>
        <w:rPr>
          <w:highlight w:val="white"/>
        </w:rPr>
      </w:pPr>
      <w:r>
        <w:rPr>
          <w:highlight w:val="white"/>
        </w:rPr>
        <w:t xml:space="preserve">7. Реструктуризация задолженности осуществляется при соблюдении следующих условий:</w:t>
      </w:r>
      <w:r>
        <w:rPr>
          <w:highlight w:val="white"/>
        </w:rPr>
      </w:r>
      <w:r>
        <w:rPr>
          <w:highlight w:val="white"/>
        </w:rPr>
      </w:r>
    </w:p>
    <w:p>
      <w:pPr>
        <w:pStyle w:val="927"/>
        <w:ind w:firstLine="540"/>
        <w:jc w:val="both"/>
        <w:spacing w:before="0" w:beforeAutospacing="0" w:after="0" w:afterAutospacing="0" w:line="288" w:lineRule="atLeast"/>
        <w:rPr>
          <w:highlight w:val="white"/>
        </w:rPr>
      </w:pPr>
      <w:r>
        <w:rPr>
          <w:highlight w:val="white"/>
        </w:rPr>
        <w:t xml:space="preserve">1) должник не находится в процессе ликвидации или реорганизации;</w:t>
      </w:r>
      <w:r>
        <w:rPr>
          <w:highlight w:val="white"/>
        </w:rPr>
      </w:r>
      <w:r>
        <w:rPr>
          <w:highlight w:val="white"/>
        </w:rPr>
      </w:r>
    </w:p>
    <w:p>
      <w:pPr>
        <w:pStyle w:val="927"/>
        <w:ind w:firstLine="540"/>
        <w:jc w:val="both"/>
        <w:spacing w:before="0" w:beforeAutospacing="0" w:after="0" w:afterAutospacing="0" w:line="288" w:lineRule="atLeast"/>
        <w:rPr>
          <w:highlight w:val="white"/>
        </w:rPr>
      </w:pPr>
      <w:r>
        <w:rPr>
          <w:highlight w:val="white"/>
        </w:rPr>
        <w:t xml:space="preserve">2) в отношении должника не введена процедура банкротства, деятельность должника не приостановлена в порядке, предусмотренном законодательством Российской Федерации;</w:t>
      </w:r>
      <w:r>
        <w:rPr>
          <w:highlight w:val="white"/>
        </w:rPr>
      </w:r>
      <w:r>
        <w:rPr>
          <w:highlight w:val="white"/>
        </w:rPr>
      </w:r>
    </w:p>
    <w:p>
      <w:pPr>
        <w:pStyle w:val="927"/>
        <w:ind w:firstLine="540"/>
        <w:jc w:val="both"/>
        <w:spacing w:before="0" w:beforeAutospacing="0" w:after="0" w:afterAutospacing="0" w:line="288" w:lineRule="atLeast"/>
        <w:rPr>
          <w:highlight w:val="white"/>
        </w:rPr>
      </w:pPr>
      <w:r>
        <w:rPr>
          <w:highlight w:val="white"/>
        </w:rPr>
        <w:t xml:space="preserve">3) должник представляет в уполномоченный орган по его требованию соглашение к договору банковского счета должника, предоставившего кредитной организации согла</w:t>
      </w:r>
      <w:r>
        <w:rPr>
          <w:highlight w:val="white"/>
        </w:rPr>
        <w:t xml:space="preserve">сие (акцепт) на списание со счета должника денежных средств в размере задолженности должника по соглашению о реструктуризации задолженности (в том числе к договорам банковских счетов, открытых в период действия соглашения о реструктуризации задолженности).</w:t>
      </w:r>
      <w:r>
        <w:rPr>
          <w:highlight w:val="white"/>
        </w:rPr>
      </w:r>
      <w:r>
        <w:rPr>
          <w:highlight w:val="white"/>
        </w:rPr>
      </w:r>
    </w:p>
    <w:p>
      <w:pPr>
        <w:pStyle w:val="926"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8. Рассмотрение вопроса о реструктуризации задолженности осуществляется на основании обращения должника в уполномоченный орган.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7"/>
        <w:ind w:firstLine="540"/>
        <w:jc w:val="both"/>
        <w:spacing w:before="0" w:beforeAutospacing="0" w:after="0" w:afterAutospacing="0" w:line="288" w:lineRule="atLeast"/>
        <w:rPr>
          <w:highlight w:val="white"/>
        </w:rPr>
      </w:pPr>
      <w:r>
        <w:rPr>
          <w:highlight w:val="white"/>
        </w:rPr>
        <w:t xml:space="preserve">9. Реструктуризация задолженности осуществляется путем заключения между уполномоченным органом и должником соглашения о реструктуризации задолженности (далее – </w:t>
      </w:r>
      <w:r>
        <w:rPr>
          <w:highlight w:val="white"/>
        </w:rPr>
        <w:t xml:space="preserve">соглашение) на основании постановления </w:t>
      </w:r>
      <w:r>
        <w:rPr>
          <w:highlight w:val="white"/>
        </w:rPr>
        <w:t xml:space="preserve">Администрации</w:t>
      </w:r>
      <w:r>
        <w:rPr>
          <w:highlight w:val="white"/>
        </w:rPr>
        <w:t xml:space="preserve"> ЗАТО Северск.</w:t>
      </w:r>
      <w:bookmarkStart w:id="0" w:name="undefined"/>
      <w:r/>
      <w:bookmarkEnd w:id="0"/>
      <w:r>
        <w:rPr>
          <w:highlight w:val="white"/>
        </w:rPr>
      </w:r>
      <w:r>
        <w:rPr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white"/>
          <w:lang w:eastAsia="ru-RU"/>
        </w:rPr>
        <w:t xml:space="preserve">10. Обстоятельствами, исключающими реструктуризацию задолженности, являются: 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1) наличие в отношении должника производства по делу, связанному с нарушением законодательства о налогах и сборах, влекущему административную или уголовную ответственность;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2) несоблюдение должни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ком условий договора аренды муниципального имущества, договоров аренды земельных участков, договоров о размещении и эксплуатации рекламных конструкций, нестационарных торговых объектов, кроме случаев несвоевременного внесения платы по указанным договорам;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3) несоблюдение должником условий ранее принятых решений и (или) соглашений о реструктуризации задолженности;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4) невыполнение должником условий муниципального контракта (договора).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11. Срок уплаты неналогового платежа может быть изменен в отношении всей подлежащей уплате суммы платежа либо ее части.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12. В случае реструктуризации задолженности в соответствии с </w:t>
      </w:r>
      <w:hyperlink r:id="rId14" w:tooltip="https://login.consultant.ru/link/?req=doc&amp;base=RLAW091&amp;n=172905&amp;dst=100025&amp;field=134&amp;date=19.01.2026" w:history="1">
        <w:r>
          <w:rPr>
            <w:rStyle w:val="928"/>
            <w:rFonts w:ascii="Times New Roman" w:hAnsi="Times New Roman" w:cs="Times New Roman"/>
            <w:color w:val="auto"/>
            <w:sz w:val="24"/>
            <w:szCs w:val="24"/>
            <w:highlight w:val="white"/>
            <w:u w:val="none"/>
          </w:rPr>
          <w:t xml:space="preserve">подпунктами 2</w:t>
        </w:r>
      </w:hyperlink>
      <w:r>
        <w:rPr>
          <w:rFonts w:ascii="Times New Roman" w:hAnsi="Times New Roman" w:cs="Times New Roman"/>
          <w:sz w:val="24"/>
          <w:szCs w:val="24"/>
          <w:highlight w:val="white"/>
        </w:rPr>
        <w:t xml:space="preserve"> -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5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пункта </w:t>
      </w:r>
      <w:r>
        <w:rPr>
          <w:rStyle w:val="928"/>
          <w:rFonts w:ascii="Times New Roman" w:hAnsi="Times New Roman" w:cs="Times New Roman"/>
          <w:color w:val="auto"/>
          <w:sz w:val="24"/>
          <w:szCs w:val="24"/>
          <w:highlight w:val="white"/>
          <w:u w:val="none"/>
        </w:rPr>
        <w:t xml:space="preserve">6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настоящего Порядка на сумму задолженности начисляются проценты в соответствии с пунктом 19 настоящего Порядка.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13. В случае реструктуризации задолженности в соответствии с </w:t>
      </w:r>
      <w:hyperlink r:id="rId15" w:tooltip="https://login.consultant.ru/link/?req=doc&amp;base=RLAW091&amp;n=172905&amp;dst=100023&amp;field=134&amp;date=19.01.2026" w:history="1">
        <w:r>
          <w:rPr>
            <w:rStyle w:val="928"/>
            <w:rFonts w:ascii="Times New Roman" w:hAnsi="Times New Roman" w:cs="Times New Roman"/>
            <w:color w:val="auto"/>
            <w:sz w:val="24"/>
            <w:szCs w:val="24"/>
            <w:highlight w:val="white"/>
            <w:u w:val="none"/>
          </w:rPr>
          <w:t xml:space="preserve">подпунктами 1</w:t>
        </w:r>
      </w:hyperlink>
      <w:r>
        <w:rPr>
          <w:rFonts w:ascii="Times New Roman" w:hAnsi="Times New Roman" w:cs="Times New Roman"/>
          <w:sz w:val="24"/>
          <w:szCs w:val="24"/>
          <w:highlight w:val="white"/>
        </w:rPr>
        <w:t xml:space="preserve">, 6 пункта </w:t>
      </w:r>
      <w:r>
        <w:rPr>
          <w:rStyle w:val="928"/>
          <w:rFonts w:ascii="Times New Roman" w:hAnsi="Times New Roman" w:cs="Times New Roman"/>
          <w:color w:val="auto"/>
          <w:sz w:val="24"/>
          <w:szCs w:val="24"/>
          <w:highlight w:val="white"/>
          <w:u w:val="none"/>
        </w:rPr>
        <w:t xml:space="preserve">6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настоящего Порядка на сумму задолженности проценты не начисляются.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highlight w:val="white"/>
          <w:lang w:val="en-US"/>
        </w:rPr>
        <w:t xml:space="preserve">III</w:t>
      </w:r>
      <w:r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. ПОРЯДОК РЕСТРУКТУРИЗАЦИИ ЗАДОЛЖЕННОСТИ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/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14. Заявление о реструктуризации задолженности подается должником в уполномоченный орган в произвольной форме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с указанием размера задолженности, предполагаемого к реструктуризации, способа проведения реструктуризации, обоснования необходимости проведения реструктуризации задолженности и информации об источниках и сроках погашения реструктурируемой задолженности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К заявлению о реструктуризации задолженности должником прилагаются следующие документы: </w:t>
      </w:r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1) 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копия документа, подтверждающего полномочия лица, действующего от имени должника;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/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2) акт сверки по неналоговым платежам в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бюджет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ЗАТО Северск между должником и уполномоченным органом как главным администратором доходов бюджета ЗАТО Северск по указанным направлениям, подтверждающий сумму задолженности;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3) бухгалтерский баланс должника с приложениями на последнюю отчетную дату с отметкой о принятии налоговым органом (для юридических лиц);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/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4) справка налогового органа по месту учета должника о состоянии его расчетов по налогам, сборам, пеням и штрафам на первое число месяца, в котором подано заявление о реструктуризации задолженности;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/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5) при обращении за предоставлением рассрочки прилагается проект графика погашения задолженности с расшифровкой по видам неналоговых платежей в 2 экземплярах;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6) при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наличии оснований для реструктуризации задолженности в соответствии с  подпунктом 1 пункта 6 настоящего Порядка дополнительно представляются документы, подтверждающие факт стихийного бедствия, техногенной катастрофы, эпидемии или иных обстоятельств непре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одолимой силы, а также документы, подтверждающие сумму ущерба, причиненного указанными обстоятельствами (заключение о факте наступления в отношении плательщика обстоятельств непреодолимой силы, акт оценки причиненного плательщику ущерба в результате указан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ных обстоятельств, составленные уполномоченным органом исполнительной власти (государственным органом, органом местного самоуправления) или уполномоченной организацией в области гражданской обороны, защиты населения и территорий от чрезвычайных ситуаций);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7) при наличии оснований для реструктуризации задолженности в соответствии с </w:t>
      </w:r>
      <w:hyperlink r:id="rId16" w:tooltip="https://login.consultant.ru/link/?req=doc&amp;base=RLAW091&amp;n=172905&amp;dst=100024&amp;field=134&amp;date=19.01.2026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подпунктом 2 пункта 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6 настоящего Порядка, в случае задержки финансирования или неоплаты выполненного муниципального контракта (договора) из бюджета ЗАТО Северск, дополнительно к документам, указанным в подпунктах 1 - 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5 пункта 14 настоящего Порядка, представляется акт сверки с указанием сумм и причин возникновения задолженности;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8) при наличии оснований для реструктуризации задолженности в соответствии с </w:t>
      </w:r>
      <w:hyperlink r:id="rId17" w:tooltip="https://login.consultant.ru/link/?req=doc&amp;base=RLAW091&amp;n=172905&amp;dst=100025&amp;field=134&amp;date=19.01.2026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подпунктом 3 пункта 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6 настоящего Порядка дополнительно к документам, указанным в </w:t>
      </w:r>
      <w:hyperlink w:tooltip="#p2" w:anchor="p2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подпунктах 1</w:t>
        </w:r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 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- 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5 пункта 14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настоящего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Порядка, представляется выписка со всех счетов, открытых должником в кредитных организациях, на дату подачи заявления;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/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9) при наличии оснований для реструктуризации задолженности в соответствии с </w:t>
      </w:r>
      <w:hyperlink r:id="rId18" w:tooltip="https://login.consultant.ru/link/?req=doc&amp;base=RLAW091&amp;n=172905&amp;dst=100026&amp;field=134&amp;date=19.01.2026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подпунктом 4 пункта 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6 настоящего Порядка дополнительно к документам, указанным в </w:t>
      </w:r>
      <w:hyperlink w:tooltip="#p2" w:anchor="p2" w:history="1">
        <w:r>
          <w:rPr>
            <w:rFonts w:ascii="Times New Roman" w:hAnsi="Times New Roman" w:cs="Times New Roman"/>
            <w:sz w:val="24"/>
            <w:szCs w:val="24"/>
            <w:highlight w:val="none"/>
            <w:lang w:eastAsia="ru-RU"/>
          </w:rPr>
          <w:t xml:space="preserve"> подпунктах 1</w:t>
        </w:r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 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 </w:t>
      </w:r>
      <w:r>
        <w:rPr>
          <w:highlight w:val="white"/>
          <w:lang w:eastAsia="ru-RU"/>
        </w:rPr>
      </w:r>
      <w:hyperlink w:tooltip="#p6" w:anchor="p6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5 пункта 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14 настоящего Порядка, представляются документы, подтверждающие сезонный характер производства и (или) реализации товаров, выполнения работ, оказания услуг;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/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10) при наличии оснований для реструктуризации задолженности в соответствии с </w:t>
      </w:r>
      <w:hyperlink r:id="rId19" w:tooltip="https://login.consultant.ru/link/?req=doc&amp;base=RLAW091&amp;n=172905&amp;dst=100027&amp;field=134&amp;date=19.01.2026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подпунктом 5 пункта 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6 настоящего Порядка дополнительно к документам, указанным в </w:t>
      </w:r>
      <w:hyperlink w:tooltip="#p3" w:anchor="p3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подпунктах 1, 2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, </w:t>
      </w:r>
      <w:hyperlink w:tooltip="#p6" w:anchor="p6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5 пункта 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14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настоящего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Порядка, физическое лицо представляет: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а)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справку о доходах и суммах налога физического лица по форме, утвержденной приказом ФНС России от 19.09.2023 № ЕД-7-11/649@, </w:t>
      </w:r>
      <w:r>
        <w:rPr>
          <w:rFonts w:ascii="Times New Roman" w:hAnsi="Times New Roman"/>
          <w:sz w:val="24"/>
          <w:highlight w:val="white"/>
        </w:rPr>
        <w:t xml:space="preserve">за последний отчетный период и за предшествующий отчетный период (для физических лиц, состоящих (состоявших в указанн</w:t>
      </w:r>
      <w:r>
        <w:rPr>
          <w:rFonts w:ascii="Times New Roman" w:hAnsi="Times New Roman"/>
          <w:sz w:val="24"/>
          <w:highlight w:val="white"/>
        </w:rPr>
        <w:t xml:space="preserve">ый период) в трудовых отношениях либо отношениях гражданско-правового характера), справку из территориального органа Фонда пенсионного и социального страхования Российской Федерации по месту учета физического лица о пенсионных выплатах за один календарный </w:t>
      </w:r>
      <w:r>
        <w:rPr>
          <w:rFonts w:ascii="Times New Roman" w:hAnsi="Times New Roman"/>
          <w:sz w:val="24"/>
          <w:highlight w:val="white"/>
        </w:rPr>
        <w:t xml:space="preserve">год,</w:t>
      </w:r>
      <w:r>
        <w:rPr>
          <w:rFonts w:ascii="Times New Roman" w:hAnsi="Times New Roman"/>
          <w:sz w:val="24"/>
          <w:highlight w:val="white"/>
        </w:rPr>
        <w:t xml:space="preserve"> предшествующий дате подаче заявления (в случае назначения и выплаты физическому лицу страховой пенсии по старости (инвалидности). Указанные в настоящем подпункте документы представляются физическими лицами, не являющимися индивидуальными предпринимателями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б) налоговую декларацию по форме 3-НДФЛ за налоговый период, предшествующий дате подачи заявления, с отметкой налогового органа о принятии (для индивидуальных предпринимателей);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в) выписки со всех счетов, открытых должником в кредитных организациях, на дату подачи заявления;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г) выписку из Единого государственного реестра недвижимости о правах отдельного лица на имеющиеся у него объекты недвижимости;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д) пояснительную записку с указанием причин ухудшения имущественного положения в случае единовременной уплаты плательщиком неналогового платежа.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Документы, указанные в </w:t>
      </w:r>
      <w:hyperlink w:tooltip="#p2" w:anchor="p2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подпунктах </w:t>
        </w:r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1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 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 </w:t>
      </w:r>
      <w:hyperlink w:tooltip="#p10" w:anchor="p10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9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настоящего пункта, представляют юридические лица и индивидуальные предприниматели. Документы, указанные в </w:t>
      </w:r>
      <w:hyperlink w:tooltip="#p3" w:anchor="p3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подпунктах 1, 2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, </w:t>
      </w:r>
      <w:hyperlink w:tooltip="#p5" w:anchor="p5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4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- </w:t>
      </w:r>
      <w:hyperlink w:tooltip="#p11" w:anchor="p11" w:history="1">
        <w:r>
          <w:rPr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 xml:space="preserve">10</w:t>
        </w:r>
      </w:hyperlink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настоящего пункта, представляют физические лица.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Документы, указанные в настоящем пункте, представляются в подлинниках или заверенных копиях.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15. </w:t>
      </w:r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  <w:highlight w:val="white"/>
        </w:rPr>
        <w:t xml:space="preserve">Уполномоченный орган в течение 10 рабочих дней рассматривает заявление и приложенные к нему документы на предмет их соответствия требованиям, указанным в </w:t>
      </w:r>
      <w:hyperlink r:id="rId20" w:tooltip="https://login.consultant.ru/link/?req=doc&amp;base=RLAW906&amp;n=218010&amp;dst=100026" w:history="1">
        <w:r>
          <w:rPr>
            <w:rFonts w:ascii="Times New Roman" w:hAnsi="Times New Roman" w:cs="Times New Roman"/>
            <w:sz w:val="24"/>
            <w:szCs w:val="24"/>
            <w:highlight w:val="white"/>
          </w:rPr>
          <w:t xml:space="preserve">пункте </w:t>
        </w:r>
      </w:hyperlink>
      <w:r>
        <w:rPr>
          <w:rFonts w:ascii="Times New Roman" w:hAnsi="Times New Roman" w:cs="Times New Roman"/>
          <w:sz w:val="24"/>
          <w:szCs w:val="24"/>
          <w:highlight w:val="white"/>
        </w:rPr>
        <w:t xml:space="preserve">14 настоящего Порядка, и, в случае их несоответствия указанным требованиям, отсутствия оснований, указанных в </w:t>
      </w:r>
      <w:hyperlink r:id="rId21" w:tooltip="https://login.consultant.ru/link/?req=doc&amp;base=RLAW906&amp;n=218010&amp;dst=100035" w:history="1">
        <w:r>
          <w:rPr>
            <w:rFonts w:ascii="Times New Roman" w:hAnsi="Times New Roman" w:cs="Times New Roman"/>
            <w:sz w:val="24"/>
            <w:szCs w:val="24"/>
            <w:highlight w:val="white"/>
          </w:rPr>
          <w:t xml:space="preserve">пункте </w:t>
        </w:r>
      </w:hyperlink>
      <w:r>
        <w:rPr>
          <w:rFonts w:ascii="Times New Roman" w:hAnsi="Times New Roman" w:cs="Times New Roman"/>
          <w:sz w:val="24"/>
          <w:szCs w:val="24"/>
          <w:highlight w:val="white"/>
        </w:rPr>
        <w:t xml:space="preserve">6 настоящего Порядка или наличия обстоятельств, предусмотренных пунктом 10 настоящего Порядка, возвращает документы должнику с указанием причины возврата способом, позволяющим подтвердить факт и дату отправления.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Отказ в реструктуризации задолженности не препятствует повторному обращению с заявлением о реструктуризации задолженности в соответствии с настоящим Порядком.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16. В случае соответствия заявления и приложенных к нему документов требованиям, указанным в </w:t>
      </w:r>
      <w:hyperlink r:id="rId22" w:tooltip="https://login.consultant.ru/link/?req=doc&amp;base=RLAW906&amp;n=218010&amp;dst=100026" w:history="1">
        <w:r>
          <w:rPr>
            <w:rFonts w:ascii="Times New Roman" w:hAnsi="Times New Roman" w:cs="Times New Roman"/>
            <w:sz w:val="24"/>
            <w:szCs w:val="24"/>
            <w:highlight w:val="white"/>
          </w:rPr>
          <w:t xml:space="preserve">пункте </w:t>
        </w:r>
      </w:hyperlink>
      <w:r>
        <w:rPr>
          <w:rFonts w:ascii="Times New Roman" w:hAnsi="Times New Roman" w:cs="Times New Roman"/>
          <w:sz w:val="24"/>
          <w:szCs w:val="24"/>
          <w:highlight w:val="white"/>
        </w:rPr>
        <w:t xml:space="preserve">14 настоящего Порядка, при наличии оснований, указанных в </w:t>
      </w:r>
      <w:hyperlink r:id="rId23" w:tooltip="https://login.consultant.ru/link/?req=doc&amp;base=RLAW906&amp;n=218010&amp;dst=100035" w:history="1">
        <w:r>
          <w:rPr>
            <w:rFonts w:ascii="Times New Roman" w:hAnsi="Times New Roman" w:cs="Times New Roman"/>
            <w:sz w:val="24"/>
            <w:szCs w:val="24"/>
            <w:highlight w:val="white"/>
          </w:rPr>
          <w:t xml:space="preserve">пункте </w:t>
        </w:r>
      </w:hyperlink>
      <w:r>
        <w:rPr>
          <w:rFonts w:ascii="Times New Roman" w:hAnsi="Times New Roman" w:cs="Times New Roman"/>
          <w:sz w:val="24"/>
          <w:szCs w:val="24"/>
          <w:highlight w:val="white"/>
        </w:rPr>
        <w:t xml:space="preserve">6 настоящего Порядка, а также условий, предусмотренных в пункте 7 настоящего Порядка, при отсутствии обстоятельств, предусмотренных пунктом 10 настоящего Порядка, уполномоченный орг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ан в течение 10 рабочих дней после рассмотрения заявления и приложенных к нему документов готовит проект постановления Администрации ЗАТО Северск о проведении реструктуризации задолженности должника и направляет его на согласование в установленном порядке.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17. 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В течение 10 рабочих дней после принятия постановления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ЗАТО Северск о проведении реструктуризации задолженности между уполномоченным органом и должником заключается соглашение о реструктуризации задолженности.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18. Соглашение о реструктуризации задолженности должно предусматривать: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1) размер реструктурируемой задолженности;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2) способ реструктуризации задолженности (отсрочка или рассрочка);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3) 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процентную ставку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за пользование реструктуризацией задолженности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4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) сумму начисленных процентов за реструктуризацию задолженности;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5</w:t>
      </w:r>
      <w:bookmarkStart w:id="0" w:name="undefined"/>
      <w:r>
        <w:rPr>
          <w:highlight w:val="white"/>
        </w:rPr>
      </w:r>
      <w:bookmarkEnd w:id="0"/>
      <w:r>
        <w:rPr>
          <w:rFonts w:ascii="Times New Roman" w:hAnsi="Times New Roman" w:cs="Times New Roman"/>
          <w:sz w:val="24"/>
          <w:szCs w:val="24"/>
          <w:highlight w:val="white"/>
        </w:rPr>
        <w:t xml:space="preserve">) 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срок погашения задолженности,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включая начисленные проценты за реструктуризацию задолженности,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а в случае предоставления рассрочки – график, предусматривающий осуществление платежей;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6)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 санкции, применяемые к должнику в случае нарушения им условий реструктуризации.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19.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В случае реструктуризации задолженности на сумму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отсроченных, рассроченных платежей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в соответствии с пунктом 12 настоящего Порядка начисляются проценты исходя из ставки, равной 1/2 ключевой ставки Банка России, действовавшей на день принятия решения о реструктуризации задолженности.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20. Проценты оплачиваются должником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одновременно с основной суммой реструктурируемой задолженности в сроки, указанные в Соглашении о реструктуризации.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21. При досрочном погаш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ении должником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реструктурируемой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задолженности уполномоченный орган производит перерасчет процентов. Проценты рассчитываются за период со дня заключения соглашения о реструктуризации задолженности по день досрочного погашения задолженности включительно.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22. Контроль за своевременностью и полнотой уплаты должником сумм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реструктурируемой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 задолженности осуществляет уполномоченный орган.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23. В случае однократного нарушения должником срока погашения отсроченных, рассроченных платежей уполномоченный орган в одностороннем поряд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ке принимает решение о расторжении соглашения о реструктуризации задолженности, которое вручается лично должнику под подпись или направляется ему заказным почтовым отправлением с уведомлением о вручении в течение трех рабочих дней со дня принятия решения.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24. С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оглашение считается расторгнутым по истечении пяти дней с даты направления уполномоченным органом в адрес должника решения о </w:t>
      </w: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расторжении соглашения о реструктуризации задолженности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eastAsia="ru-RU"/>
        </w:rPr>
        <w:t xml:space="preserve">25. В течение трех рабочих дней со дня получения решения уполномоченного органа о расторжении соглашения о реструктуризации задолженности должник обязан уплатить неуплаченную сумму задолженности, а также причитающиеся проценты. </w:t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926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r/>
      <w:r/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40" w:orient="portrait"/>
      <w:pgMar w:top="1134" w:right="567" w:bottom="993" w:left="1701" w:header="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rPr>
        <w:sz w:val="16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0367718</w:t>
    </w:r>
    <w:r>
      <w:rPr>
        <w:sz w:val="16"/>
      </w:rPr>
    </w:r>
    <w:r>
      <w:rPr>
        <w:sz w:val="16"/>
      </w:rPr>
    </w:r>
  </w:p>
  <w:p>
    <w:pPr>
      <w:pStyle w:val="779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rPr>
        <w:sz w:val="16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0367718</w:t>
    </w:r>
    <w:r>
      <w:rPr>
        <w:sz w:val="16"/>
      </w:rPr>
    </w:r>
    <w:r>
      <w:rPr>
        <w:sz w:val="16"/>
      </w:rPr>
    </w:r>
  </w:p>
  <w:p>
    <w:pPr>
      <w:pStyle w:val="779"/>
      <w:tabs>
        <w:tab w:val="left" w:pos="2726" w:leader="none"/>
        <w:tab w:val="clear" w:pos="7143" w:leader="none"/>
        <w:tab w:val="clear" w:pos="14287" w:leader="none"/>
      </w:tabs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  <w:jc w:val="center"/>
    </w:pPr>
    <w:r>
      <w:rPr>
        <w:highlight w:val="none"/>
      </w:rPr>
    </w:r>
    <w:r>
      <w:rPr>
        <w:highlight w:val="none"/>
      </w:rPr>
    </w:r>
    <w:r/>
  </w:p>
  <w:p>
    <w:pPr>
      <w:pStyle w:val="777"/>
      <w:jc w:val="center"/>
      <w:rPr>
        <w:highlight w:val="none"/>
      </w:rPr>
    </w:pPr>
    <w:r>
      <w:rPr>
        <w:highlight w:val="none"/>
      </w:rPr>
    </w:r>
    <w:r>
      <w:rPr>
        <w:highlight w:val="none"/>
      </w:rPr>
    </w:r>
    <w:r>
      <w:rPr>
        <w:highlight w:val="none"/>
      </w:rPr>
    </w:r>
  </w:p>
  <w:p>
    <w:pPr>
      <w:pStyle w:val="777"/>
      <w:jc w:val="center"/>
      <w:rPr>
        <w:highlight w:val="none"/>
      </w:rPr>
    </w:pPr>
    <w:r>
      <w:fldChar w:fldCharType="begin"/>
    </w:r>
    <w:r>
      <w:instrText xml:space="preserve">PAGE \* MERGEFORMAT</w:instrText>
    </w:r>
    <w:r>
      <w:rPr>
        <w:rFonts w:ascii="Times New Roman" w:hAnsi="Times New Roman" w:eastAsia="Times New Roman" w:cs="Times New Roman"/>
        <w:sz w:val="24"/>
        <w:szCs w:val="24"/>
      </w:rPr>
      <w:fldChar w:fldCharType="separate"/>
    </w:r>
    <w:r>
      <w:rPr>
        <w:rFonts w:ascii="Times New Roman" w:hAnsi="Times New Roman" w:eastAsia="Times New Roman" w:cs="Times New Roman"/>
        <w:sz w:val="24"/>
        <w:szCs w:val="24"/>
      </w:rPr>
      <w:t xml:space="preserve">4</w:t>
    </w:r>
    <w:r>
      <w:rPr>
        <w:rFonts w:ascii="Times New Roman" w:hAnsi="Times New Roman" w:eastAsia="Times New Roman" w:cs="Times New Roman"/>
        <w:sz w:val="24"/>
        <w:szCs w:val="24"/>
      </w:rPr>
      <w:fldChar w:fldCharType="end"/>
    </w:r>
    <w:r>
      <w:rPr>
        <w:highlight w:val="none"/>
      </w:rPr>
    </w:r>
    <w:r>
      <w:rPr>
        <w:highlight w:val="none"/>
      </w:rPr>
    </w:r>
  </w:p>
  <w:p>
    <w:pPr>
      <w:pStyle w:val="77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8" w:default="1">
    <w:name w:val="Normal"/>
    <w:qFormat/>
  </w:style>
  <w:style w:type="paragraph" w:styleId="729">
    <w:name w:val="Heading 1"/>
    <w:basedOn w:val="728"/>
    <w:next w:val="728"/>
    <w:link w:val="7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0">
    <w:name w:val="Heading 2"/>
    <w:basedOn w:val="728"/>
    <w:next w:val="728"/>
    <w:link w:val="76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1">
    <w:name w:val="Heading 3"/>
    <w:basedOn w:val="728"/>
    <w:next w:val="728"/>
    <w:link w:val="76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2">
    <w:name w:val="Heading 4"/>
    <w:basedOn w:val="728"/>
    <w:next w:val="728"/>
    <w:link w:val="7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3">
    <w:name w:val="Heading 5"/>
    <w:basedOn w:val="728"/>
    <w:next w:val="728"/>
    <w:link w:val="7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4">
    <w:name w:val="Heading 6"/>
    <w:basedOn w:val="728"/>
    <w:next w:val="728"/>
    <w:link w:val="76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35">
    <w:name w:val="Heading 7"/>
    <w:basedOn w:val="728"/>
    <w:next w:val="728"/>
    <w:link w:val="76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36">
    <w:name w:val="Heading 8"/>
    <w:basedOn w:val="728"/>
    <w:next w:val="728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37">
    <w:name w:val="Heading 9"/>
    <w:basedOn w:val="728"/>
    <w:next w:val="728"/>
    <w:link w:val="76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8" w:default="1">
    <w:name w:val="Default Paragraph Font"/>
    <w:uiPriority w:val="1"/>
    <w:semiHidden/>
    <w:unhideWhenUsed/>
  </w:style>
  <w:style w:type="table" w:styleId="7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0" w:default="1">
    <w:name w:val="No List"/>
    <w:uiPriority w:val="99"/>
    <w:semiHidden/>
    <w:unhideWhenUsed/>
  </w:style>
  <w:style w:type="character" w:styleId="741" w:customStyle="1">
    <w:name w:val="Heading 1 Char"/>
    <w:basedOn w:val="73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2" w:customStyle="1">
    <w:name w:val="Heading 2 Char"/>
    <w:basedOn w:val="738"/>
    <w:uiPriority w:val="9"/>
    <w:rPr>
      <w:rFonts w:ascii="Liberation Sans" w:hAnsi="Liberation Sans" w:eastAsia="Liberation Sans" w:cs="Liberation Sans"/>
      <w:sz w:val="34"/>
    </w:rPr>
  </w:style>
  <w:style w:type="character" w:styleId="743" w:customStyle="1">
    <w:name w:val="Heading 3 Char"/>
    <w:basedOn w:val="73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4" w:customStyle="1">
    <w:name w:val="Heading 4 Char"/>
    <w:basedOn w:val="73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5" w:customStyle="1">
    <w:name w:val="Heading 5 Char"/>
    <w:basedOn w:val="73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 w:customStyle="1">
    <w:name w:val="Heading 6 Char"/>
    <w:basedOn w:val="73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 w:customStyle="1">
    <w:name w:val="Heading 7 Char"/>
    <w:basedOn w:val="7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8" w:customStyle="1">
    <w:name w:val="Heading 8 Char"/>
    <w:basedOn w:val="73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9" w:customStyle="1">
    <w:name w:val="Heading 9 Char"/>
    <w:basedOn w:val="73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0" w:customStyle="1">
    <w:name w:val="Title Char"/>
    <w:basedOn w:val="738"/>
    <w:uiPriority w:val="10"/>
    <w:rPr>
      <w:sz w:val="48"/>
      <w:szCs w:val="48"/>
    </w:rPr>
  </w:style>
  <w:style w:type="character" w:styleId="751" w:customStyle="1">
    <w:name w:val="Subtitle Char"/>
    <w:basedOn w:val="738"/>
    <w:uiPriority w:val="11"/>
    <w:rPr>
      <w:sz w:val="24"/>
      <w:szCs w:val="24"/>
    </w:rPr>
  </w:style>
  <w:style w:type="character" w:styleId="752" w:customStyle="1">
    <w:name w:val="Quote Char"/>
    <w:uiPriority w:val="29"/>
    <w:rPr>
      <w:i/>
    </w:rPr>
  </w:style>
  <w:style w:type="character" w:styleId="753" w:customStyle="1">
    <w:name w:val="Intense Quote Char"/>
    <w:uiPriority w:val="30"/>
    <w:rPr>
      <w:i/>
    </w:rPr>
  </w:style>
  <w:style w:type="character" w:styleId="754" w:customStyle="1">
    <w:name w:val="Header Char"/>
    <w:basedOn w:val="738"/>
    <w:uiPriority w:val="99"/>
  </w:style>
  <w:style w:type="character" w:styleId="755" w:customStyle="1">
    <w:name w:val="Footer Char"/>
    <w:basedOn w:val="738"/>
    <w:uiPriority w:val="99"/>
  </w:style>
  <w:style w:type="character" w:styleId="756" w:customStyle="1">
    <w:name w:val="Caption Char"/>
    <w:basedOn w:val="738"/>
    <w:uiPriority w:val="35"/>
    <w:rPr>
      <w:b/>
      <w:bCs/>
      <w:color w:val="5b9bd5" w:themeColor="accent1"/>
      <w:sz w:val="18"/>
      <w:szCs w:val="18"/>
    </w:rPr>
  </w:style>
  <w:style w:type="character" w:styleId="757" w:customStyle="1">
    <w:name w:val="Footnote Text Char"/>
    <w:uiPriority w:val="99"/>
    <w:rPr>
      <w:sz w:val="18"/>
    </w:rPr>
  </w:style>
  <w:style w:type="character" w:styleId="758" w:customStyle="1">
    <w:name w:val="Endnote Text Char"/>
    <w:uiPriority w:val="99"/>
    <w:rPr>
      <w:sz w:val="20"/>
    </w:rPr>
  </w:style>
  <w:style w:type="character" w:styleId="759" w:customStyle="1">
    <w:name w:val="Заголовок 1 Знак"/>
    <w:basedOn w:val="738"/>
    <w:link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0" w:customStyle="1">
    <w:name w:val="Заголовок 2 Знак"/>
    <w:basedOn w:val="738"/>
    <w:link w:val="730"/>
    <w:uiPriority w:val="9"/>
    <w:rPr>
      <w:rFonts w:ascii="Liberation Sans" w:hAnsi="Liberation Sans" w:eastAsia="Liberation Sans" w:cs="Liberation Sans"/>
      <w:sz w:val="34"/>
    </w:rPr>
  </w:style>
  <w:style w:type="character" w:styleId="761" w:customStyle="1">
    <w:name w:val="Заголовок 3 Знак"/>
    <w:basedOn w:val="738"/>
    <w:link w:val="73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2" w:customStyle="1">
    <w:name w:val="Заголовок 4 Знак"/>
    <w:basedOn w:val="738"/>
    <w:link w:val="73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3" w:customStyle="1">
    <w:name w:val="Заголовок 5 Знак"/>
    <w:basedOn w:val="738"/>
    <w:link w:val="7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4" w:customStyle="1">
    <w:name w:val="Заголовок 6 Знак"/>
    <w:basedOn w:val="738"/>
    <w:link w:val="73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5" w:customStyle="1">
    <w:name w:val="Заголовок 7 Знак"/>
    <w:basedOn w:val="738"/>
    <w:link w:val="73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6" w:customStyle="1">
    <w:name w:val="Заголовок 8 Знак"/>
    <w:basedOn w:val="738"/>
    <w:link w:val="73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7" w:customStyle="1">
    <w:name w:val="Заголовок 9 Знак"/>
    <w:basedOn w:val="738"/>
    <w:link w:val="73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8">
    <w:name w:val="List Paragraph"/>
    <w:basedOn w:val="728"/>
    <w:uiPriority w:val="34"/>
    <w:qFormat/>
    <w:pPr>
      <w:contextualSpacing/>
      <w:ind w:left="720"/>
    </w:pPr>
  </w:style>
  <w:style w:type="paragraph" w:styleId="769">
    <w:name w:val="Title"/>
    <w:basedOn w:val="728"/>
    <w:next w:val="728"/>
    <w:link w:val="77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0" w:customStyle="1">
    <w:name w:val="Название Знак"/>
    <w:basedOn w:val="738"/>
    <w:link w:val="769"/>
    <w:uiPriority w:val="10"/>
    <w:rPr>
      <w:sz w:val="48"/>
      <w:szCs w:val="48"/>
    </w:rPr>
  </w:style>
  <w:style w:type="paragraph" w:styleId="771">
    <w:name w:val="Subtitle"/>
    <w:basedOn w:val="728"/>
    <w:next w:val="728"/>
    <w:link w:val="772"/>
    <w:uiPriority w:val="11"/>
    <w:qFormat/>
    <w:pPr>
      <w:spacing w:before="200" w:after="200"/>
    </w:pPr>
    <w:rPr>
      <w:sz w:val="24"/>
      <w:szCs w:val="24"/>
    </w:rPr>
  </w:style>
  <w:style w:type="character" w:styleId="772" w:customStyle="1">
    <w:name w:val="Подзаголовок Знак"/>
    <w:basedOn w:val="738"/>
    <w:link w:val="771"/>
    <w:uiPriority w:val="11"/>
    <w:rPr>
      <w:sz w:val="24"/>
      <w:szCs w:val="24"/>
    </w:rPr>
  </w:style>
  <w:style w:type="paragraph" w:styleId="773">
    <w:name w:val="Quote"/>
    <w:basedOn w:val="728"/>
    <w:next w:val="728"/>
    <w:link w:val="774"/>
    <w:uiPriority w:val="29"/>
    <w:qFormat/>
    <w:pP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</w:rPr>
  </w:style>
  <w:style w:type="paragraph" w:styleId="775">
    <w:name w:val="Intense Quote"/>
    <w:basedOn w:val="728"/>
    <w:next w:val="728"/>
    <w:link w:val="77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</w:rPr>
  </w:style>
  <w:style w:type="paragraph" w:styleId="777">
    <w:name w:val="Header"/>
    <w:basedOn w:val="728"/>
    <w:link w:val="77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8" w:customStyle="1">
    <w:name w:val="Верхний колонтитул Знак"/>
    <w:basedOn w:val="738"/>
    <w:link w:val="777"/>
    <w:uiPriority w:val="99"/>
  </w:style>
  <w:style w:type="paragraph" w:styleId="779">
    <w:name w:val="Footer"/>
    <w:basedOn w:val="728"/>
    <w:link w:val="7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0" w:customStyle="1">
    <w:name w:val="Нижний колонтитул Знак"/>
    <w:basedOn w:val="738"/>
    <w:link w:val="779"/>
    <w:uiPriority w:val="99"/>
  </w:style>
  <w:style w:type="paragraph" w:styleId="781">
    <w:name w:val="Caption"/>
    <w:basedOn w:val="728"/>
    <w:next w:val="728"/>
    <w:link w:val="782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82" w:customStyle="1">
    <w:name w:val="Название объекта Знак"/>
    <w:basedOn w:val="738"/>
    <w:link w:val="781"/>
    <w:uiPriority w:val="35"/>
    <w:rPr>
      <w:b/>
      <w:bCs/>
      <w:color w:val="5b9bd5" w:themeColor="accent1"/>
      <w:sz w:val="18"/>
      <w:szCs w:val="18"/>
    </w:rPr>
  </w:style>
  <w:style w:type="table" w:styleId="783">
    <w:name w:val="Table Grid"/>
    <w:basedOn w:val="7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Table Grid Light"/>
    <w:basedOn w:val="73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>
    <w:name w:val="Plain Table 1"/>
    <w:basedOn w:val="73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6">
    <w:name w:val="Plain Table 2"/>
    <w:basedOn w:val="7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7">
    <w:name w:val="Plain Table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8">
    <w:name w:val="Plain Table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Plain Table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0">
    <w:name w:val="Grid Table 1 Light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4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2" w:customStyle="1">
    <w:name w:val="Grid Table 4 - Accent 1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3" w:customStyle="1">
    <w:name w:val="Grid Table 4 - Accent 2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14" w:customStyle="1">
    <w:name w:val="Grid Table 4 - Accent 3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15" w:customStyle="1">
    <w:name w:val="Grid Table 4 - Accent 4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16" w:customStyle="1">
    <w:name w:val="Grid Table 4 - Accent 5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17" w:customStyle="1">
    <w:name w:val="Grid Table 4 - Accent 6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18">
    <w:name w:val="Grid Table 5 Dark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25">
    <w:name w:val="Grid Table 6 Colorful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6" w:customStyle="1">
    <w:name w:val="Grid Table 6 Colorful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27" w:customStyle="1">
    <w:name w:val="Grid Table 6 Colorful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28" w:customStyle="1">
    <w:name w:val="Grid Table 6 Colorful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29" w:customStyle="1">
    <w:name w:val="Grid Table 6 Colorful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0" w:customStyle="1">
    <w:name w:val="Grid Table 6 Colorful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1" w:customStyle="1">
    <w:name w:val="Grid Table 6 Colorful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2">
    <w:name w:val="Grid Table 7 Colorful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7 Colorful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7 Colorful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7 Colorful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7 Colorful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7 Colorful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3">
    <w:name w:val="List Table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5 Dark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8" w:customStyle="1">
    <w:name w:val="List Table 5 Dark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9" w:customStyle="1">
    <w:name w:val="List Table 5 Dark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0" w:customStyle="1">
    <w:name w:val="List Table 5 Dark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1" w:customStyle="1">
    <w:name w:val="List Table 5 Dark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2" w:customStyle="1">
    <w:name w:val="List Table 5 Dark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3" w:customStyle="1">
    <w:name w:val="List Table 5 Dark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4">
    <w:name w:val="List Table 6 Colorful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5" w:customStyle="1">
    <w:name w:val="List Table 6 Colorful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76" w:customStyle="1">
    <w:name w:val="List Table 6 Colorful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77" w:customStyle="1">
    <w:name w:val="List Table 6 Colorful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78" w:customStyle="1">
    <w:name w:val="List Table 6 Colorful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79" w:customStyle="1">
    <w:name w:val="List Table 6 Colorful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80" w:customStyle="1">
    <w:name w:val="List Table 6 Colorful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1">
    <w:name w:val="List Table 7 Colorful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7 Colorful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7 Colorful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7 Colorful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7 Colorful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st Table 7 Colorful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ned - Accent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Lined - Accent 1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0" w:customStyle="1">
    <w:name w:val="Lined - Accent 2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1" w:customStyle="1">
    <w:name w:val="Lined - Accent 3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2" w:customStyle="1">
    <w:name w:val="Lined - Accent 4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3" w:customStyle="1">
    <w:name w:val="Lined - Accent 5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4" w:customStyle="1">
    <w:name w:val="Lined - Accent 6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5" w:customStyle="1">
    <w:name w:val="Bordered &amp; Lined - Accent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 1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7" w:customStyle="1">
    <w:name w:val="Bordered &amp; Lined - Accent 2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8" w:customStyle="1">
    <w:name w:val="Bordered &amp; Lined - Accent 3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9" w:customStyle="1">
    <w:name w:val="Bordered &amp; Lined - Accent 4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0" w:customStyle="1">
    <w:name w:val="Bordered &amp; Lined - Accent 5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1" w:customStyle="1">
    <w:name w:val="Bordered &amp; Lined - Accent 6"/>
    <w:basedOn w:val="73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2" w:customStyle="1">
    <w:name w:val="Bordered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3" w:customStyle="1">
    <w:name w:val="Bordered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04" w:customStyle="1">
    <w:name w:val="Bordered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05" w:customStyle="1">
    <w:name w:val="Bordered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06" w:customStyle="1">
    <w:name w:val="Bordered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07" w:customStyle="1">
    <w:name w:val="Bordered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08" w:customStyle="1">
    <w:name w:val="Bordered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09">
    <w:name w:val="footnote text"/>
    <w:basedOn w:val="728"/>
    <w:link w:val="910"/>
    <w:uiPriority w:val="99"/>
    <w:semiHidden/>
    <w:unhideWhenUsed/>
    <w:pPr>
      <w:spacing w:after="40" w:line="240" w:lineRule="auto"/>
    </w:pPr>
    <w:rPr>
      <w:sz w:val="18"/>
    </w:rPr>
  </w:style>
  <w:style w:type="character" w:styleId="910" w:customStyle="1">
    <w:name w:val="Текст сноски Знак"/>
    <w:link w:val="909"/>
    <w:uiPriority w:val="99"/>
    <w:rPr>
      <w:sz w:val="18"/>
    </w:rPr>
  </w:style>
  <w:style w:type="character" w:styleId="911">
    <w:name w:val="footnote reference"/>
    <w:basedOn w:val="738"/>
    <w:uiPriority w:val="99"/>
    <w:unhideWhenUsed/>
    <w:rPr>
      <w:vertAlign w:val="superscript"/>
    </w:rPr>
  </w:style>
  <w:style w:type="paragraph" w:styleId="912">
    <w:name w:val="endnote text"/>
    <w:basedOn w:val="728"/>
    <w:link w:val="913"/>
    <w:uiPriority w:val="99"/>
    <w:semiHidden/>
    <w:unhideWhenUsed/>
    <w:pPr>
      <w:spacing w:after="0" w:line="240" w:lineRule="auto"/>
    </w:pPr>
    <w:rPr>
      <w:sz w:val="20"/>
    </w:rPr>
  </w:style>
  <w:style w:type="character" w:styleId="913" w:customStyle="1">
    <w:name w:val="Текст концевой сноски Знак"/>
    <w:link w:val="912"/>
    <w:uiPriority w:val="99"/>
    <w:rPr>
      <w:sz w:val="20"/>
    </w:rPr>
  </w:style>
  <w:style w:type="character" w:styleId="914">
    <w:name w:val="endnote reference"/>
    <w:basedOn w:val="738"/>
    <w:uiPriority w:val="99"/>
    <w:semiHidden/>
    <w:unhideWhenUsed/>
    <w:rPr>
      <w:vertAlign w:val="superscript"/>
    </w:rPr>
  </w:style>
  <w:style w:type="paragraph" w:styleId="915">
    <w:name w:val="toc 1"/>
    <w:basedOn w:val="728"/>
    <w:next w:val="728"/>
    <w:uiPriority w:val="39"/>
    <w:unhideWhenUsed/>
    <w:pPr>
      <w:spacing w:after="57"/>
    </w:pPr>
  </w:style>
  <w:style w:type="paragraph" w:styleId="916">
    <w:name w:val="toc 2"/>
    <w:basedOn w:val="728"/>
    <w:next w:val="728"/>
    <w:uiPriority w:val="39"/>
    <w:unhideWhenUsed/>
    <w:pPr>
      <w:ind w:left="283"/>
      <w:spacing w:after="57"/>
    </w:pPr>
  </w:style>
  <w:style w:type="paragraph" w:styleId="917">
    <w:name w:val="toc 3"/>
    <w:basedOn w:val="728"/>
    <w:next w:val="728"/>
    <w:uiPriority w:val="39"/>
    <w:unhideWhenUsed/>
    <w:pPr>
      <w:ind w:left="567"/>
      <w:spacing w:after="57"/>
    </w:pPr>
  </w:style>
  <w:style w:type="paragraph" w:styleId="918">
    <w:name w:val="toc 4"/>
    <w:basedOn w:val="728"/>
    <w:next w:val="728"/>
    <w:uiPriority w:val="39"/>
    <w:unhideWhenUsed/>
    <w:pPr>
      <w:ind w:left="850"/>
      <w:spacing w:after="57"/>
    </w:pPr>
  </w:style>
  <w:style w:type="paragraph" w:styleId="919">
    <w:name w:val="toc 5"/>
    <w:basedOn w:val="728"/>
    <w:next w:val="728"/>
    <w:uiPriority w:val="39"/>
    <w:unhideWhenUsed/>
    <w:pPr>
      <w:ind w:left="1134"/>
      <w:spacing w:after="57"/>
    </w:pPr>
  </w:style>
  <w:style w:type="paragraph" w:styleId="920">
    <w:name w:val="toc 6"/>
    <w:basedOn w:val="728"/>
    <w:next w:val="728"/>
    <w:uiPriority w:val="39"/>
    <w:unhideWhenUsed/>
    <w:pPr>
      <w:ind w:left="1417"/>
      <w:spacing w:after="57"/>
    </w:pPr>
  </w:style>
  <w:style w:type="paragraph" w:styleId="921">
    <w:name w:val="toc 7"/>
    <w:basedOn w:val="728"/>
    <w:next w:val="728"/>
    <w:uiPriority w:val="39"/>
    <w:unhideWhenUsed/>
    <w:pPr>
      <w:ind w:left="1701"/>
      <w:spacing w:after="57"/>
    </w:pPr>
  </w:style>
  <w:style w:type="paragraph" w:styleId="922">
    <w:name w:val="toc 8"/>
    <w:basedOn w:val="728"/>
    <w:next w:val="728"/>
    <w:uiPriority w:val="39"/>
    <w:unhideWhenUsed/>
    <w:pPr>
      <w:ind w:left="1984"/>
      <w:spacing w:after="57"/>
    </w:pPr>
  </w:style>
  <w:style w:type="paragraph" w:styleId="923">
    <w:name w:val="toc 9"/>
    <w:basedOn w:val="728"/>
    <w:next w:val="728"/>
    <w:uiPriority w:val="39"/>
    <w:unhideWhenUsed/>
    <w:pPr>
      <w:ind w:left="2268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basedOn w:val="728"/>
    <w:next w:val="728"/>
    <w:uiPriority w:val="99"/>
    <w:unhideWhenUsed/>
    <w:pPr>
      <w:spacing w:after="0"/>
    </w:pPr>
  </w:style>
  <w:style w:type="paragraph" w:styleId="926">
    <w:name w:val="No Spacing"/>
    <w:uiPriority w:val="1"/>
    <w:qFormat/>
    <w:pPr>
      <w:spacing w:after="0" w:line="240" w:lineRule="auto"/>
    </w:pPr>
  </w:style>
  <w:style w:type="paragraph" w:styleId="927">
    <w:name w:val="Normal (Web)"/>
    <w:basedOn w:val="728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8">
    <w:name w:val="Hyperlink"/>
    <w:basedOn w:val="738"/>
    <w:uiPriority w:val="99"/>
    <w:semiHidden/>
    <w:unhideWhenUsed/>
    <w:rPr>
      <w:color w:val="0000ff"/>
      <w:u w:val="single"/>
    </w:rPr>
  </w:style>
  <w:style w:type="paragraph" w:styleId="929">
    <w:name w:val="HTML Preformatted"/>
    <w:basedOn w:val="728"/>
    <w:link w:val="930"/>
    <w:uiPriority w:val="99"/>
    <w:semiHidden/>
    <w:unhideWhenUsed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30" w:customStyle="1">
    <w:name w:val="Стандартный HTML Знак"/>
    <w:basedOn w:val="738"/>
    <w:link w:val="929"/>
    <w:uiPriority w:val="99"/>
    <w:semiHidden/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1">
    <w:name w:val="Balloon Text"/>
    <w:basedOn w:val="728"/>
    <w:link w:val="93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32" w:customStyle="1">
    <w:name w:val="Текст выноски Знак"/>
    <w:basedOn w:val="738"/>
    <w:link w:val="93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yperlink" Target="https://login.consultant.ru/link/?req=doc&amp;base=LAW&amp;n=426999&amp;date=19.01.2026" TargetMode="External"/><Relationship Id="rId13" Type="http://schemas.openxmlformats.org/officeDocument/2006/relationships/hyperlink" Target="https://login.consultant.ru/link/?req=doc&amp;base=LAW&amp;n=518293&amp;dst=616&amp;field=134&amp;date=19.01.2026" TargetMode="External"/><Relationship Id="rId14" Type="http://schemas.openxmlformats.org/officeDocument/2006/relationships/hyperlink" Target="https://login.consultant.ru/link/?req=doc&amp;base=RLAW091&amp;n=172905&amp;dst=100025&amp;field=134&amp;date=19.01.2026" TargetMode="External"/><Relationship Id="rId15" Type="http://schemas.openxmlformats.org/officeDocument/2006/relationships/hyperlink" Target="https://login.consultant.ru/link/?req=doc&amp;base=RLAW091&amp;n=172905&amp;dst=100023&amp;field=134&amp;date=19.01.2026" TargetMode="External"/><Relationship Id="rId16" Type="http://schemas.openxmlformats.org/officeDocument/2006/relationships/hyperlink" Target="https://login.consultant.ru/link/?req=doc&amp;base=RLAW091&amp;n=172905&amp;dst=100024&amp;field=134&amp;date=19.01.2026" TargetMode="External"/><Relationship Id="rId17" Type="http://schemas.openxmlformats.org/officeDocument/2006/relationships/hyperlink" Target="https://login.consultant.ru/link/?req=doc&amp;base=RLAW091&amp;n=172905&amp;dst=100025&amp;field=134&amp;date=19.01.2026" TargetMode="External"/><Relationship Id="rId18" Type="http://schemas.openxmlformats.org/officeDocument/2006/relationships/hyperlink" Target="https://login.consultant.ru/link/?req=doc&amp;base=RLAW091&amp;n=172905&amp;dst=100026&amp;field=134&amp;date=19.01.2026" TargetMode="External"/><Relationship Id="rId19" Type="http://schemas.openxmlformats.org/officeDocument/2006/relationships/hyperlink" Target="https://login.consultant.ru/link/?req=doc&amp;base=RLAW091&amp;n=172905&amp;dst=100027&amp;field=134&amp;date=19.01.2026" TargetMode="External"/><Relationship Id="rId20" Type="http://schemas.openxmlformats.org/officeDocument/2006/relationships/hyperlink" Target="https://login.consultant.ru/link/?req=doc&amp;base=RLAW906&amp;n=218010&amp;dst=100026" TargetMode="External"/><Relationship Id="rId21" Type="http://schemas.openxmlformats.org/officeDocument/2006/relationships/hyperlink" Target="https://login.consultant.ru/link/?req=doc&amp;base=RLAW906&amp;n=218010&amp;dst=100035" TargetMode="External"/><Relationship Id="rId22" Type="http://schemas.openxmlformats.org/officeDocument/2006/relationships/hyperlink" Target="https://login.consultant.ru/link/?req=doc&amp;base=RLAW906&amp;n=218010&amp;dst=100026" TargetMode="External"/><Relationship Id="rId23" Type="http://schemas.openxmlformats.org/officeDocument/2006/relationships/hyperlink" Target="https://login.consultant.ru/link/?req=doc&amp;base=RLAW906&amp;n=218010&amp;dst=10003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Romanishena</dc:creator>
  <cp:keywords/>
  <dc:description/>
  <cp:lastModifiedBy>lebedeva_aa</cp:lastModifiedBy>
  <cp:revision>32</cp:revision>
  <dcterms:created xsi:type="dcterms:W3CDTF">2026-02-12T02:16:00Z</dcterms:created>
  <dcterms:modified xsi:type="dcterms:W3CDTF">2026-06-30T08:35:37Z</dcterms:modified>
</cp:coreProperties>
</file>