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0772" w:right="0" w:firstLine="1701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Приложение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0772" w:right="0" w:firstLine="1701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 распоряжению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0772" w:right="0" w:firstLine="1701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0772" w:right="0" w:firstLine="1701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от_10.07.2026__№_598-ра____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5134" w:type="pct"/>
        <w:tblInd w:w="-2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10"/>
        <w:gridCol w:w="961"/>
        <w:gridCol w:w="1559"/>
        <w:gridCol w:w="1334"/>
        <w:gridCol w:w="4492"/>
        <w:gridCol w:w="1134"/>
        <w:gridCol w:w="1134"/>
        <w:gridCol w:w="1560"/>
        <w:gridCol w:w="3533"/>
      </w:tblGrid>
      <w:tr>
        <w:tblPrEx/>
        <w:trPr/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«№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п/п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Код главного администратора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главного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администратора доходов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КБК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КБК доходов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метода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расчета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Формула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расчета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Алгоритм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расчета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3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Описание показателей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sz w:val="2"/>
          <w:szCs w:val="2"/>
        </w:rPr>
      </w:pPr>
      <w:r>
        <w:rPr>
          <w:sz w:val="24"/>
          <w:szCs w:val="24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tbl>
      <w:tblPr>
        <w:tblW w:w="5134" w:type="pct"/>
        <w:tblInd w:w="-2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10"/>
        <w:gridCol w:w="961"/>
        <w:gridCol w:w="1559"/>
        <w:gridCol w:w="1334"/>
        <w:gridCol w:w="4492"/>
        <w:gridCol w:w="1134"/>
        <w:gridCol w:w="1134"/>
        <w:gridCol w:w="1560"/>
        <w:gridCol w:w="3533"/>
      </w:tblGrid>
      <w:tr>
        <w:tblPrEx/>
        <w:trPr>
          <w:tblHeader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1104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pStyle w:val="896"/>
              <w:jc w:val="center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902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center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</w:t>
            </w:r>
            <w:r>
              <w:rPr>
                <w:color w:val="000000"/>
                <w:sz w:val="24"/>
                <w:szCs w:val="24"/>
              </w:rPr>
              <w:t xml:space="preserve">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11105034040000120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Прямой расчет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АР</w:t>
            </w:r>
            <w:r>
              <w:rPr>
                <w:color w:val="000000"/>
                <w:sz w:val="24"/>
                <w:szCs w:val="24"/>
                <w:vertAlign w:val="subscript"/>
              </w:rPr>
              <w:t xml:space="preserve">ДИ </w:t>
            </w:r>
            <w:r>
              <w:rPr>
                <w:color w:val="000000"/>
                <w:sz w:val="24"/>
                <w:szCs w:val="24"/>
              </w:rPr>
              <w:t xml:space="preserve">= ∑</w:t>
            </w:r>
            <w:r>
              <w:rPr>
                <w:color w:val="000000"/>
                <w:sz w:val="24"/>
                <w:szCs w:val="24"/>
                <w:vertAlign w:val="superscript"/>
              </w:rPr>
              <w:t xml:space="preserve">n</w:t>
            </w:r>
            <w:r>
              <w:rPr>
                <w:color w:val="000000"/>
                <w:sz w:val="24"/>
                <w:szCs w:val="24"/>
                <w:vertAlign w:val="subscript"/>
              </w:rPr>
              <w:t xml:space="preserve">i</w:t>
            </w:r>
            <w:r>
              <w:rPr>
                <w:color w:val="000000"/>
                <w:sz w:val="24"/>
                <w:szCs w:val="24"/>
                <w:vertAlign w:val="subscript"/>
              </w:rPr>
              <w:t xml:space="preserve">=1</w:t>
            </w:r>
            <w:r>
              <w:rPr>
                <w:color w:val="000000"/>
                <w:sz w:val="24"/>
                <w:szCs w:val="24"/>
              </w:rPr>
              <w:t xml:space="preserve">АР</w:t>
            </w:r>
            <w:r>
              <w:rPr>
                <w:color w:val="000000"/>
                <w:sz w:val="24"/>
                <w:szCs w:val="24"/>
                <w:vertAlign w:val="subscript"/>
              </w:rPr>
              <w:t xml:space="preserve">ДИi</w:t>
            </w:r>
            <w:r>
              <w:rPr>
                <w:color w:val="000000"/>
                <w:sz w:val="24"/>
                <w:szCs w:val="24"/>
              </w:rPr>
              <w:t xml:space="preserve"> × Ус + З × </w:t>
            </w:r>
            <w:r>
              <w:rPr>
                <w:color w:val="000000"/>
                <w:sz w:val="24"/>
                <w:szCs w:val="24"/>
              </w:rPr>
              <w:t xml:space="preserve">К</w:t>
            </w:r>
            <w:r>
              <w:rPr>
                <w:color w:val="000000"/>
                <w:sz w:val="24"/>
                <w:szCs w:val="24"/>
                <w:vertAlign w:val="subscript"/>
              </w:rPr>
              <w:t xml:space="preserve">з</w:t>
            </w:r>
            <w:r>
              <w:rPr>
                <w:color w:val="000000"/>
                <w:sz w:val="24"/>
                <w:szCs w:val="24"/>
              </w:rPr>
              <w:t xml:space="preserve"> +/– 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33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n – количество договоров аренды имущества, действующих в году, на который осуществляется расчет прогнозного объема поступлений;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АР</w:t>
            </w:r>
            <w:r>
              <w:rPr>
                <w:color w:val="000000"/>
                <w:sz w:val="24"/>
                <w:szCs w:val="24"/>
                <w:vertAlign w:val="subscript"/>
              </w:rPr>
              <w:t xml:space="preserve">ДИi</w:t>
            </w:r>
            <w:r>
              <w:rPr>
                <w:color w:val="000000"/>
                <w:sz w:val="24"/>
                <w:szCs w:val="24"/>
              </w:rPr>
              <w:t xml:space="preserve"> – размер арендной платы по i</w:t>
            </w:r>
            <w:r>
              <w:rPr>
                <w:color w:val="000000"/>
                <w:sz w:val="24"/>
                <w:szCs w:val="24"/>
              </w:rPr>
              <w:t xml:space="preserve">-</w:t>
            </w:r>
            <w:r>
              <w:rPr>
                <w:color w:val="000000"/>
                <w:sz w:val="24"/>
                <w:szCs w:val="24"/>
              </w:rPr>
              <w:t xml:space="preserve">му</w:t>
            </w:r>
            <w:r>
              <w:rPr>
                <w:color w:val="000000"/>
                <w:sz w:val="24"/>
                <w:szCs w:val="24"/>
              </w:rPr>
              <w:t xml:space="preserve"> договору аренды имущества в году, на который осуществляется расчет прогнозного объема поступлений;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Ус – уровень собираемости платежей, рассчитываемый как среднее значение уровней собираемости платежей за три года, предшествующих текущему финансовому году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(рассчитывается с точностью до сотого знака после запятой).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Уровень собираемости i-</w:t>
            </w:r>
            <w:r>
              <w:rPr>
                <w:color w:val="000000"/>
                <w:sz w:val="24"/>
                <w:szCs w:val="24"/>
              </w:rPr>
              <w:t xml:space="preserve">го</w:t>
            </w:r>
            <w:r>
              <w:rPr>
                <w:color w:val="000000"/>
                <w:sz w:val="24"/>
                <w:szCs w:val="24"/>
              </w:rPr>
              <w:t xml:space="preserve"> года рассчитывается как отношение фактического поступления платежей за i-</w:t>
            </w:r>
            <w:r>
              <w:rPr>
                <w:color w:val="000000"/>
                <w:sz w:val="24"/>
                <w:szCs w:val="24"/>
              </w:rPr>
              <w:t xml:space="preserve">й</w:t>
            </w:r>
            <w:r>
              <w:rPr>
                <w:color w:val="000000"/>
                <w:sz w:val="24"/>
                <w:szCs w:val="24"/>
              </w:rPr>
              <w:t xml:space="preserve"> год к размеру начислений за i-</w:t>
            </w:r>
            <w:r>
              <w:rPr>
                <w:color w:val="000000"/>
                <w:sz w:val="24"/>
                <w:szCs w:val="24"/>
              </w:rPr>
              <w:t xml:space="preserve">й</w:t>
            </w:r>
            <w:r>
              <w:rPr>
                <w:color w:val="000000"/>
                <w:sz w:val="24"/>
                <w:szCs w:val="24"/>
              </w:rPr>
              <w:t xml:space="preserve"> год. В случае превышения суммы оплаты над суммой </w:t>
            </w:r>
            <w:r>
              <w:rPr>
                <w:color w:val="000000"/>
                <w:sz w:val="24"/>
                <w:szCs w:val="24"/>
              </w:rPr>
              <w:t xml:space="preserve">начислений значение коэффициента собираемости платежей принимается равным 1: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 – сумма возможной к взысканию задолженности на конец отчетного финансового года;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</w:t>
            </w:r>
            <w:r>
              <w:rPr>
                <w:color w:val="000000"/>
                <w:sz w:val="24"/>
                <w:szCs w:val="24"/>
                <w:vertAlign w:val="subscript"/>
              </w:rPr>
              <w:t xml:space="preserve">з</w:t>
            </w:r>
            <w:r>
              <w:rPr>
                <w:color w:val="000000"/>
                <w:sz w:val="24"/>
                <w:szCs w:val="24"/>
              </w:rPr>
              <w:t xml:space="preserve"> – коэффициент сокращения возможной к взысканию задолженности (в расчете принимается равным 0,3);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 – дополнительные (со знаком «+</w:t>
            </w:r>
            <w:r>
              <w:rPr>
                <w:color w:val="000000"/>
                <w:sz w:val="24"/>
                <w:szCs w:val="24"/>
              </w:rPr>
              <w:t xml:space="preserve">»)/</w:t>
            </w:r>
            <w:r>
              <w:rPr>
                <w:color w:val="000000"/>
                <w:sz w:val="24"/>
                <w:szCs w:val="24"/>
              </w:rPr>
              <w:t xml:space="preserve">выпадающие (со знаком «–») доходы, имеющие разовый характер в году,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widowControl w:val="o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 который осуществляется расчет прогнозного объема поступлений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104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pStyle w:val="896"/>
              <w:jc w:val="center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902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center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11109044040007120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Прочие поступления от использования имущества, находящегося </w:t>
            </w:r>
            <w:r>
              <w:rPr>
                <w:color w:val="000000"/>
                <w:sz w:val="24"/>
                <w:szCs w:val="24"/>
              </w:rPr>
              <w:t xml:space="preserve">в собственности городских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(плата за право заключения договора о комплексном развитии территории)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Иной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способ – экспертные оценки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Доходы,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имеющие постоянного характера поступлений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3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поступлений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текущем финансовом году устана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вливается на уровне фактических поступлений за истекший период текущего финансового года.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Доходы, не имеющие постоянного характера поступлений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очередном финансовом году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плановом периоде,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принима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ются равными нулю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3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pStyle w:val="896"/>
              <w:jc w:val="center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902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center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11302994040001130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Прочие доходы от компенсации затрат бюджетов городских округов (доходы от возврата остатков субсидий, субвенций и иных межбюджетных трансфертов, имеющих целевое назначение, прошлых лет, подлежащих возврату в областной бюджет)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875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11302994040006130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доходы от компенсации затрат бюджетов городских округов (дебиторская задолженность прошлых лет)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830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11302994040026130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доходы от компенсации затрат бюджетов городских округов (прочая компенсация затрат)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3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830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11601054010000140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Административные 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выявленные должностными лицами органов муниципального контроля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Метод </w:t>
            </w:r>
            <w:r>
              <w:rPr>
                <w:color w:val="000000"/>
                <w:sz w:val="24"/>
                <w:szCs w:val="24"/>
              </w:rPr>
              <w:t xml:space="preserve">усредне-ния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Аш</w:t>
            </w:r>
            <w:r>
              <w:rPr>
                <w:color w:val="000000"/>
                <w:sz w:val="24"/>
                <w:szCs w:val="24"/>
              </w:rPr>
              <w:t xml:space="preserve"> = (Аш1 + Аш2 + Аш3) / 3 + 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shd w:val="clear" w:color="auto" w:fill="ffffff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Расчет осуществляется на основании усреднения годовых объемов поступления </w:t>
            </w:r>
            <w:r>
              <w:rPr>
                <w:color w:val="000000"/>
                <w:sz w:val="24"/>
                <w:szCs w:val="24"/>
              </w:rPr>
              <w:t xml:space="preserve">доходов</w:t>
            </w:r>
            <w:r>
              <w:rPr>
                <w:color w:val="000000"/>
                <w:sz w:val="24"/>
                <w:szCs w:val="24"/>
              </w:rPr>
              <w:t xml:space="preserve"> за 3 года или за весь период поступления в случае, если он не превышает 3 лет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533" w:type="dxa"/>
            <w:vMerge w:val="restart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Аш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–</w:t>
            </w:r>
            <w:r>
              <w:rPr>
                <w:color w:val="000000"/>
                <w:sz w:val="24"/>
                <w:szCs w:val="24"/>
              </w:rPr>
              <w:t xml:space="preserve"> прогнозируемый объем поступлений доходов от административных штрафов;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Аш1 </w:t>
            </w:r>
            <w:r>
              <w:rPr>
                <w:color w:val="000000"/>
                <w:sz w:val="24"/>
                <w:szCs w:val="24"/>
              </w:rPr>
              <w:t xml:space="preserve">–</w:t>
            </w:r>
            <w:r>
              <w:rPr>
                <w:color w:val="000000"/>
                <w:sz w:val="24"/>
                <w:szCs w:val="24"/>
              </w:rPr>
              <w:t xml:space="preserve"> объем фактического поступления доходов в отчетном финансовом году;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Аш2, Аш3 </w:t>
            </w:r>
            <w:r>
              <w:rPr>
                <w:color w:val="000000"/>
                <w:sz w:val="24"/>
                <w:szCs w:val="24"/>
              </w:rPr>
              <w:t xml:space="preserve">–</w:t>
            </w:r>
            <w:r>
              <w:rPr>
                <w:color w:val="000000"/>
                <w:sz w:val="24"/>
                <w:szCs w:val="24"/>
              </w:rPr>
              <w:t xml:space="preserve"> объем фактического поступления доходов за 2 года, предшествующих отчетному финансовому году;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 </w:t>
            </w:r>
            <w:r>
              <w:rPr>
                <w:color w:val="000000"/>
                <w:sz w:val="24"/>
                <w:szCs w:val="24"/>
              </w:rPr>
              <w:t xml:space="preserve">–</w:t>
            </w:r>
            <w:r>
              <w:rPr>
                <w:color w:val="000000"/>
                <w:sz w:val="24"/>
                <w:szCs w:val="24"/>
              </w:rPr>
              <w:t xml:space="preserve"> дополнительные (+) или выпадающие (-) доходы </w:t>
            </w:r>
            <w:r>
              <w:rPr>
                <w:color w:val="000000"/>
                <w:sz w:val="24"/>
                <w:szCs w:val="24"/>
              </w:rPr>
              <w:t xml:space="preserve">бюджета</w:t>
            </w:r>
            <w:r>
              <w:rPr>
                <w:color w:val="000000"/>
                <w:sz w:val="24"/>
                <w:szCs w:val="24"/>
              </w:rPr>
              <w:t xml:space="preserve"> ЗАТО Северск, связанные с изменениями законодательства Российской Федерации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830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11601074010000140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830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11601154010000140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</w:t>
            </w:r>
            <w:r>
              <w:rPr>
                <w:color w:val="000000"/>
                <w:sz w:val="24"/>
                <w:szCs w:val="24"/>
              </w:rPr>
              <w:t xml:space="preserve">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выявленные должностными лицами органов муниципального контроля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830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11601157010000140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связанные с нецелевым использованием бюджетных средств, невозвратом либо несвоевремен</w:t>
            </w:r>
            <w:r>
              <w:rPr>
                <w:color w:val="000000"/>
                <w:sz w:val="24"/>
                <w:szCs w:val="24"/>
              </w:rPr>
              <w:t xml:space="preserve">ным возвратом бюджетного кредита, </w:t>
            </w:r>
            <w:r>
              <w:rPr>
                <w:color w:val="000000"/>
                <w:sz w:val="24"/>
                <w:szCs w:val="24"/>
              </w:rPr>
              <w:t xml:space="preserve">неперечислением</w:t>
            </w:r>
            <w:r>
              <w:rPr>
                <w:color w:val="000000"/>
                <w:sz w:val="24"/>
                <w:szCs w:val="24"/>
              </w:rPr>
              <w:t xml:space="preserve"> либо несвоевременным перечислением платы за пользование бюджетным кредитом, нарушением условий предоставления бюджетного кредита, нарушением порядка и (или) у</w:t>
            </w:r>
            <w:r>
              <w:rPr>
                <w:color w:val="000000"/>
                <w:sz w:val="24"/>
                <w:szCs w:val="24"/>
              </w:rPr>
              <w:t xml:space="preserve">словий предоставления (расходования) межбюджетных трансфертов, нарушением условий предоставления бюджетных инвестиций, субсидий юридическим лицам, индивидуальным предпринимателям и физическим лицам, подлежащие зачислению в бюджет муниципального образования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830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11601194010000140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3533" w:type="dxa"/>
            <w:vMerge w:val="restart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830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11601204010000140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Административные штра</w:t>
            </w:r>
            <w:r>
              <w:rPr>
                <w:color w:val="000000"/>
                <w:sz w:val="24"/>
                <w:szCs w:val="24"/>
              </w:rPr>
              <w:t xml:space="preserve">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выявленные должностными лицами органов муниципального контроля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>
          <w:trHeight w:val="830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11602020020000140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/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11607010040000140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Штрафы, неустойки, пени, уплаченные в случае просрочки исполнения поста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вщиком (подрядчиком, исполнител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ем) обязательств, предусмотренных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муниципальным контрактом, заклю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ченным муниципальным органом, казенным учреждением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ind w:right="-2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Индек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сация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д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*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 имеющие постоянного характера поступлений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3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п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прогнозируемый объем поступлений сумм штрафов;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д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фактическое поступление сумм штрафов за отчетный финансовый год;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индекс потребительских цен;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 – дополнительные (выпа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дающие со знаком «-») доходы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бюджета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связанные с изменением законодательства либо имеющие разовый характер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11607090040200140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Иные штрафы, неустойки, пени, уплаченные в соответствии с законом или договором в случае неисполнения или ненадлежащего исполнения обязательств пе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ред муниципальным органом (муни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ципальным казенным учреждением) городского округа (прочие договоры)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vertAlign w:val="subscript"/>
              </w:rPr>
            </w:pPr>
            <w:r>
              <w:rPr>
                <w:rFonts w:ascii="Times New Roman" w:hAnsi="Times New Roman"/>
                <w:vertAlign w:val="subscript"/>
              </w:rPr>
            </w:r>
            <w:r>
              <w:rPr>
                <w:rFonts w:ascii="Times New Roman" w:hAnsi="Times New Roman"/>
                <w:vertAlign w:val="subscript"/>
              </w:rPr>
            </w:r>
            <w:r>
              <w:rPr>
                <w:rFonts w:ascii="Times New Roman" w:hAnsi="Times New Roman"/>
                <w:vertAlign w:val="subscript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/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11610061040000140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Платежи в целях возмещения убытков, причиненных уклонением от заключения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с муниципальным органом городского округа (муниципальным казенным учреждением) муниципального контракта, а также иные денежные средства, подлежащие зачислению в бюджет городского округа за нарушение законо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дательства Российской Федерации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vertAlign w:val="subscript"/>
              </w:rPr>
            </w:pPr>
            <w:r>
              <w:rPr>
                <w:rFonts w:ascii="Times New Roman" w:hAnsi="Times New Roman"/>
                <w:vertAlign w:val="subscript"/>
              </w:rPr>
            </w:r>
            <w:r>
              <w:rPr>
                <w:rFonts w:ascii="Times New Roman" w:hAnsi="Times New Roman"/>
                <w:vertAlign w:val="subscript"/>
              </w:rPr>
            </w:r>
            <w:r>
              <w:rPr>
                <w:rFonts w:ascii="Times New Roman" w:hAnsi="Times New Roman"/>
                <w:vertAlign w:val="subscript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2770"/>
        </w:trPr>
        <w:tc>
          <w:tcPr>
            <w:tcBorders>
              <w:bottom w:val="single" w:color="auto" w:sz="4" w:space="0"/>
            </w:tcBorders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11610081040000140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449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Платежи в целях возмещения ущерба при расторжении муниципального контракта, заключенного с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униципальным органом городского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bottom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vertAlign w:val="subscript"/>
              </w:rPr>
            </w:pPr>
            <w:r>
              <w:rPr>
                <w:rFonts w:ascii="Times New Roman" w:hAnsi="Times New Roman"/>
                <w:vertAlign w:val="subscript"/>
              </w:rPr>
            </w:r>
            <w:r>
              <w:rPr>
                <w:rFonts w:ascii="Times New Roman" w:hAnsi="Times New Roman"/>
                <w:vertAlign w:val="subscript"/>
              </w:rPr>
            </w:r>
            <w:r>
              <w:rPr>
                <w:rFonts w:ascii="Times New Roman" w:hAnsi="Times New Roman"/>
                <w:vertAlign w:val="subscript"/>
              </w:rPr>
            </w:r>
          </w:p>
        </w:tc>
        <w:tc>
          <w:tcPr>
            <w:tcBorders>
              <w:bottom w:val="single" w:color="auto" w:sz="4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bottom w:val="single" w:color="auto" w:sz="4" w:space="0"/>
            </w:tcBorders>
            <w:tcW w:w="353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988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11610031040000140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Возмещение ущерба при возникновении стр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аховых случаев, когда выгодопри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обретателями выступают получатели средств бюджета городского округа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Иной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экспер-тные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оценки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имеющие постоянного характера поступлений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3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поступлений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текущем финансовом году устана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вливается на уровне фактических поступлений за истекший период текущего финансового года.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Доходы, не имеющие постоянного характера поступлений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очередном финансовом году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плановом периоде,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принима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ются равными нулю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988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pStyle w:val="896"/>
              <w:jc w:val="center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902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96"/>
              <w:jc w:val="center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</w:t>
            </w:r>
            <w:r>
              <w:rPr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334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11610032040000140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pStyle w:val="896"/>
              <w:jc w:val="both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Прочее возмещение ущерба, причиненного муниципальному имуществу городского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325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19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11610100040000140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2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Денежные взыскания, налагаемые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 возмещение ущерба, причиненного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 результате незаконного или нецелевого использования бюджетных средств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(в части бюджетов городских округов)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325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11610123010041140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2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 от денежных взысканий (штрафов), поступающие в счет погашения задолжен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ности, образовавшейся до 1 янва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ря 2020 года, подлежащие зачислению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 бюджет 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 нормативам, действовавшим в 2019 году (доходы бюджетов городских округов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за исключением доходов, направляемых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на формирование муниципального дорожного фонда, а также иных платежей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случае принятия решения финансовым органом муниципального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о раздельном учете задолженности)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1255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11601054010000140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2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Административные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штрафы, устано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вленные главой 5 Кодекса Российской Федерации об административных правонарушениях, за административные правонарушения, посягающие на права граждан, выявленные должностными лицами органов муниципального контроля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Метод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усредне-ния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 =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(Аш1  + Аш2 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+ Аш3) / 3 + Д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both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Расчет осуществляется на основании усреднения годовых объемов поступления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доходов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3 года или за весь период поступления в случае, если он не превышает 3 лет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3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прогнозируемый объем поступлений доходов от административных штрафов;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Аш1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объем фактического поступления доходов в отчетном финансовом году;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Аш2, Аш3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объем фактического поступления доходов за 2 года, предшествующих отчетному финансовому году;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дополнительные (+) или выпадающие (-) доходы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бюджета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связанные с изменениями законодательства Российской Федерации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908"/>
        </w:trPr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11701040040000180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ind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Невыясненные поступления, зачисляемые в бюджеты городских округов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3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Прогнозирование поступлений не осуществляется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11705040040000180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ind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неналоговые доходы бюджетов городских округов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ind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11701040040000180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Иной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Доходы, не имеющие постоянного характера поступлений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3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поступлений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 текущем финансовом году устана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вливается на уровне фактических поступлений за истекший период текущего финансового года.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Доходы, не имеющие постоянного характера поступлений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очередном финансовом году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плановом периоде,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принима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ются равными нулю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  <w:r>
              <w:rPr>
                <w:rFonts w:ascii="Times New Roman" w:hAnsi="Times New Roman"/>
                <w:sz w:val="24"/>
                <w:szCs w:val="24"/>
                <w:highlight w:val="none"/>
              </w:rPr>
            </w:r>
          </w:p>
        </w:tc>
      </w:tr>
      <w:tr>
        <w:tblPrEx/>
        <w:trPr/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24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20230000040000150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&lt;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ind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Иной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3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Прогноз поступлений 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очере-дной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финансовый год и 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плано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-вый период определяется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объемами, предусмотренными проектом закона (законом) Томской области об областном бюджете на очередной финансовый год и на плановый период и/или на основании прогнозных данных, полученных от вышестоящих уровней бюджета, доведенных в установленном порядке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20220000040000150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&lt;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ind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/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20240000040000150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&lt;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ind w:right="1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Прочие межбюджетные трансферты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/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21800000040000150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&lt;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92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 бюджетов бюджетной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Иной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53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Прогноз поступлений в текущем финансовом году определяе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тся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с учетом фактического испо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лнения. Прогнозирование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поступ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лений на очередной финансовый год и плановый период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не осуществляется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9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902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21900000040000150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&lt;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&gt;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92" w:type="dxa"/>
            <w:textDirection w:val="lrTb"/>
            <w:noWrap w:val="false"/>
          </w:tcPr>
          <w:p>
            <w:pPr>
              <w:ind w:right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W w:w="3533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</w:tbl>
    <w:p>
      <w:pPr>
        <w:ind w:firstLine="709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16"/>
          <w:szCs w:val="16"/>
        </w:rPr>
      </w:r>
      <w:r>
        <w:rPr>
          <w:rFonts w:ascii="Times New Roman" w:hAnsi="Times New Roman"/>
          <w:sz w:val="16"/>
          <w:szCs w:val="16"/>
        </w:rPr>
      </w:r>
    </w:p>
    <w:p>
      <w:pPr>
        <w:ind w:firstLine="709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------------------------------</w:t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pStyle w:val="907"/>
        <w:ind w:firstLine="709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&lt;</w:t>
      </w:r>
      <w:r>
        <w:rPr>
          <w:rFonts w:ascii="Times New Roman" w:hAnsi="Times New Roman"/>
          <w:sz w:val="24"/>
          <w:szCs w:val="24"/>
        </w:rPr>
        <w:t xml:space="preserve">*</w:t>
      </w:r>
      <w:r>
        <w:rPr>
          <w:rFonts w:ascii="Times New Roman" w:hAnsi="Times New Roman"/>
          <w:sz w:val="24"/>
          <w:szCs w:val="24"/>
        </w:rPr>
        <w:t xml:space="preserve">&gt;</w:t>
      </w:r>
      <w:r>
        <w:rPr>
          <w:rFonts w:ascii="Times New Roman" w:hAnsi="Times New Roman"/>
          <w:sz w:val="24"/>
          <w:szCs w:val="24"/>
        </w:rPr>
        <w:t xml:space="preserve"> Прогнозирование поступлений доходов в </w:t>
      </w:r>
      <w:r>
        <w:rPr>
          <w:rFonts w:ascii="Times New Roman" w:hAnsi="Times New Roman"/>
          <w:sz w:val="24"/>
          <w:szCs w:val="24"/>
        </w:rPr>
        <w:t xml:space="preserve">бюджет</w:t>
      </w:r>
      <w:r>
        <w:rPr>
          <w:rFonts w:ascii="Times New Roman" w:hAnsi="Times New Roman"/>
          <w:sz w:val="24"/>
          <w:szCs w:val="24"/>
        </w:rPr>
        <w:t xml:space="preserve"> ЗАТО Северск осуществляется в соответствии с бюджетной классификацией Российской </w:t>
      </w:r>
      <w:r>
        <w:rPr>
          <w:rFonts w:ascii="Times New Roman" w:hAnsi="Times New Roman"/>
          <w:sz w:val="24"/>
          <w:szCs w:val="24"/>
        </w:rPr>
        <w:br/>
        <w:t xml:space="preserve">Федерации по всем кодам видов (подвидов) доходов, администрируемых Администрацией ЗАТО Северск.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keepLines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40" w:h="11907" w:orient="landscape"/>
      <w:pgMar w:top="1134" w:right="567" w:bottom="567" w:left="567" w:header="397" w:footer="397" w:gutter="0"/>
      <w:cols w:num="1" w:sep="0" w:space="709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Arial">
    <w:panose1 w:val="020B0604020202020204"/>
  </w:font>
  <w:font w:name="Liberation Sans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</w:pPr>
    <w:r>
      <w:rPr>
        <w:rFonts w:ascii="Times New Roman" w:hAnsi="Times New Roman" w:eastAsia="Times New Roman" w:cs="Times New Roman"/>
        <w:color w:val="000000"/>
        <w:sz w:val="20"/>
      </w:rPr>
      <w:t xml:space="preserve">Внутренний номер: 378575</w: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</w:pPr>
    <w:r>
      <w:rPr>
        <w:rFonts w:ascii="Times New Roman" w:hAnsi="Times New Roman" w:eastAsia="Times New Roman" w:cs="Times New Roman"/>
        <w:color w:val="000000"/>
        <w:sz w:val="20"/>
      </w:rPr>
      <w:t xml:space="preserve">Внутренний номер: 378575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934032418"/>
      <w:docPartObj>
        <w:docPartGallery w:val="Page Numbers (Top of Page)"/>
        <w:docPartUnique w:val="true"/>
      </w:docPartObj>
      <w:rPr/>
    </w:sdtPr>
    <w:sdtContent>
      <w:p>
        <w:pPr>
          <w:pStyle w:val="899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10</w:t>
        </w:r>
        <w: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cs="Times New Roman" w:asciiTheme="minorHAnsi" w:hAnsiTheme="minorHAnsi" w:eastAsiaTheme="minorEastAsia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5">
    <w:name w:val="Heading 1 Char"/>
    <w:basedOn w:val="892"/>
    <w:link w:val="88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26">
    <w:name w:val="Heading 2 Char"/>
    <w:basedOn w:val="892"/>
    <w:link w:val="884"/>
    <w:uiPriority w:val="9"/>
    <w:rPr>
      <w:rFonts w:ascii="Liberation Sans" w:hAnsi="Liberation Sans" w:eastAsia="Liberation Sans" w:cs="Liberation Sans"/>
      <w:sz w:val="34"/>
    </w:rPr>
  </w:style>
  <w:style w:type="character" w:styleId="727">
    <w:name w:val="Heading 3 Char"/>
    <w:basedOn w:val="892"/>
    <w:link w:val="88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28">
    <w:name w:val="Heading 4 Char"/>
    <w:basedOn w:val="892"/>
    <w:link w:val="88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29">
    <w:name w:val="Heading 5 Char"/>
    <w:basedOn w:val="892"/>
    <w:link w:val="88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0">
    <w:name w:val="Heading 6 Char"/>
    <w:basedOn w:val="892"/>
    <w:link w:val="88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1">
    <w:name w:val="Heading 7 Char"/>
    <w:basedOn w:val="892"/>
    <w:link w:val="88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2">
    <w:name w:val="Heading 8 Char"/>
    <w:basedOn w:val="892"/>
    <w:link w:val="89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3">
    <w:name w:val="Heading 9 Char"/>
    <w:basedOn w:val="892"/>
    <w:link w:val="89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4">
    <w:name w:val="Title Char"/>
    <w:basedOn w:val="892"/>
    <w:link w:val="918"/>
    <w:uiPriority w:val="10"/>
    <w:rPr>
      <w:sz w:val="48"/>
      <w:szCs w:val="48"/>
    </w:rPr>
  </w:style>
  <w:style w:type="character" w:styleId="735">
    <w:name w:val="Subtitle Char"/>
    <w:basedOn w:val="892"/>
    <w:link w:val="920"/>
    <w:uiPriority w:val="11"/>
    <w:rPr>
      <w:sz w:val="24"/>
      <w:szCs w:val="24"/>
    </w:rPr>
  </w:style>
  <w:style w:type="character" w:styleId="736">
    <w:name w:val="Quote Char"/>
    <w:link w:val="923"/>
    <w:uiPriority w:val="29"/>
    <w:rPr>
      <w:i/>
    </w:rPr>
  </w:style>
  <w:style w:type="character" w:styleId="737">
    <w:name w:val="Intense Quote Char"/>
    <w:link w:val="925"/>
    <w:uiPriority w:val="30"/>
    <w:rPr>
      <w:i/>
    </w:rPr>
  </w:style>
  <w:style w:type="character" w:styleId="738">
    <w:name w:val="Header Char"/>
    <w:basedOn w:val="892"/>
    <w:link w:val="899"/>
    <w:uiPriority w:val="99"/>
  </w:style>
  <w:style w:type="character" w:styleId="739">
    <w:name w:val="Footer Char"/>
    <w:basedOn w:val="892"/>
    <w:link w:val="901"/>
    <w:uiPriority w:val="99"/>
  </w:style>
  <w:style w:type="paragraph" w:styleId="740">
    <w:name w:val="Caption"/>
    <w:basedOn w:val="882"/>
    <w:next w:val="882"/>
    <w:link w:val="7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892"/>
    <w:link w:val="740"/>
    <w:uiPriority w:val="35"/>
    <w:rPr>
      <w:b/>
      <w:bCs/>
      <w:color w:val="4f81bd" w:themeColor="accent1"/>
      <w:sz w:val="18"/>
      <w:szCs w:val="18"/>
    </w:rPr>
  </w:style>
  <w:style w:type="table" w:styleId="742">
    <w:name w:val="Table Grid"/>
    <w:basedOn w:val="89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Table Grid Light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2"/>
    <w:basedOn w:val="89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9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6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2">
    <w:name w:val="List Table 7 Colorful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3">
    <w:name w:val="List Table 7 Colorful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4">
    <w:name w:val="List Table 7 Colorful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5">
    <w:name w:val="List Table 7 Colorful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6">
    <w:name w:val="List Table 7 Colorful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7">
    <w:name w:val="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9">
    <w:name w:val="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0">
    <w:name w:val="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1">
    <w:name w:val="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2">
    <w:name w:val="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3">
    <w:name w:val="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4">
    <w:name w:val="Bordered &amp; Lined - Accent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6">
    <w:name w:val="Bordered &amp; Lined - Accent 2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7">
    <w:name w:val="Bordered &amp; Lined - Accent 3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8">
    <w:name w:val="Bordered &amp; Lined - Accent 4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9">
    <w:name w:val="Bordered &amp; Lined - Accent 5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0">
    <w:name w:val="Bordered &amp; Lined - Accent 6"/>
    <w:basedOn w:val="89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1">
    <w:name w:val="Bordered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9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8">
    <w:name w:val="Hyperlink"/>
    <w:uiPriority w:val="99"/>
    <w:unhideWhenUsed/>
    <w:rPr>
      <w:color w:val="0000ff" w:themeColor="hyperlink"/>
      <w:u w:val="single"/>
    </w:rPr>
  </w:style>
  <w:style w:type="character" w:styleId="869">
    <w:name w:val="Footnote Text Char"/>
    <w:link w:val="903"/>
    <w:uiPriority w:val="99"/>
    <w:rPr>
      <w:sz w:val="18"/>
    </w:rPr>
  </w:style>
  <w:style w:type="character" w:styleId="870">
    <w:name w:val="footnote reference"/>
    <w:basedOn w:val="892"/>
    <w:uiPriority w:val="99"/>
    <w:unhideWhenUsed/>
    <w:rPr>
      <w:vertAlign w:val="superscript"/>
    </w:rPr>
  </w:style>
  <w:style w:type="character" w:styleId="871">
    <w:name w:val="Endnote Text Char"/>
    <w:link w:val="905"/>
    <w:uiPriority w:val="99"/>
    <w:rPr>
      <w:sz w:val="20"/>
    </w:rPr>
  </w:style>
  <w:style w:type="paragraph" w:styleId="872">
    <w:name w:val="toc 1"/>
    <w:basedOn w:val="882"/>
    <w:next w:val="882"/>
    <w:uiPriority w:val="39"/>
    <w:unhideWhenUsed/>
    <w:pPr>
      <w:ind w:left="0" w:right="0" w:firstLine="0"/>
      <w:spacing w:after="57"/>
    </w:pPr>
  </w:style>
  <w:style w:type="paragraph" w:styleId="873">
    <w:name w:val="toc 2"/>
    <w:basedOn w:val="882"/>
    <w:next w:val="882"/>
    <w:uiPriority w:val="39"/>
    <w:unhideWhenUsed/>
    <w:pPr>
      <w:ind w:left="283" w:right="0" w:firstLine="0"/>
      <w:spacing w:after="57"/>
    </w:pPr>
  </w:style>
  <w:style w:type="paragraph" w:styleId="874">
    <w:name w:val="toc 3"/>
    <w:basedOn w:val="882"/>
    <w:next w:val="882"/>
    <w:uiPriority w:val="39"/>
    <w:unhideWhenUsed/>
    <w:pPr>
      <w:ind w:left="567" w:right="0" w:firstLine="0"/>
      <w:spacing w:after="57"/>
    </w:pPr>
  </w:style>
  <w:style w:type="paragraph" w:styleId="875">
    <w:name w:val="toc 4"/>
    <w:basedOn w:val="882"/>
    <w:next w:val="882"/>
    <w:uiPriority w:val="39"/>
    <w:unhideWhenUsed/>
    <w:pPr>
      <w:ind w:left="850" w:right="0" w:firstLine="0"/>
      <w:spacing w:after="57"/>
    </w:pPr>
  </w:style>
  <w:style w:type="paragraph" w:styleId="876">
    <w:name w:val="toc 5"/>
    <w:basedOn w:val="882"/>
    <w:next w:val="882"/>
    <w:uiPriority w:val="39"/>
    <w:unhideWhenUsed/>
    <w:pPr>
      <w:ind w:left="1134" w:right="0" w:firstLine="0"/>
      <w:spacing w:after="57"/>
    </w:pPr>
  </w:style>
  <w:style w:type="paragraph" w:styleId="877">
    <w:name w:val="toc 6"/>
    <w:basedOn w:val="882"/>
    <w:next w:val="882"/>
    <w:uiPriority w:val="39"/>
    <w:unhideWhenUsed/>
    <w:pPr>
      <w:ind w:left="1417" w:right="0" w:firstLine="0"/>
      <w:spacing w:after="57"/>
    </w:pPr>
  </w:style>
  <w:style w:type="paragraph" w:styleId="878">
    <w:name w:val="toc 7"/>
    <w:basedOn w:val="882"/>
    <w:next w:val="882"/>
    <w:uiPriority w:val="39"/>
    <w:unhideWhenUsed/>
    <w:pPr>
      <w:ind w:left="1701" w:right="0" w:firstLine="0"/>
      <w:spacing w:after="57"/>
    </w:pPr>
  </w:style>
  <w:style w:type="paragraph" w:styleId="879">
    <w:name w:val="toc 8"/>
    <w:basedOn w:val="882"/>
    <w:next w:val="882"/>
    <w:uiPriority w:val="39"/>
    <w:unhideWhenUsed/>
    <w:pPr>
      <w:ind w:left="1984" w:right="0" w:firstLine="0"/>
      <w:spacing w:after="57"/>
    </w:pPr>
  </w:style>
  <w:style w:type="paragraph" w:styleId="880">
    <w:name w:val="toc 9"/>
    <w:basedOn w:val="882"/>
    <w:next w:val="882"/>
    <w:uiPriority w:val="39"/>
    <w:unhideWhenUsed/>
    <w:pPr>
      <w:ind w:left="2268" w:right="0" w:firstLine="0"/>
      <w:spacing w:after="57"/>
    </w:pPr>
  </w:style>
  <w:style w:type="paragraph" w:styleId="881">
    <w:name w:val="table of figures"/>
    <w:basedOn w:val="882"/>
    <w:next w:val="882"/>
    <w:uiPriority w:val="99"/>
    <w:unhideWhenUsed/>
    <w:pPr>
      <w:spacing w:after="0" w:afterAutospacing="0"/>
    </w:pPr>
  </w:style>
  <w:style w:type="paragraph" w:styleId="882" w:default="1">
    <w:name w:val="Normal"/>
    <w:qFormat/>
    <w:rPr>
      <w:sz w:val="24"/>
      <w:szCs w:val="24"/>
    </w:rPr>
  </w:style>
  <w:style w:type="paragraph" w:styleId="883">
    <w:name w:val="Heading 1"/>
    <w:basedOn w:val="882"/>
    <w:next w:val="882"/>
    <w:link w:val="909"/>
    <w:uiPriority w:val="9"/>
    <w:qFormat/>
    <w:pPr>
      <w:keepNext/>
      <w:spacing w:before="240" w:after="60"/>
      <w:outlineLvl w:val="0"/>
    </w:pPr>
    <w:rPr>
      <w:rFonts w:asciiTheme="majorHAnsi" w:hAnsiTheme="majorHAnsi" w:eastAsiaTheme="majorEastAsia"/>
      <w:b/>
      <w:bCs/>
      <w:sz w:val="32"/>
      <w:szCs w:val="32"/>
    </w:rPr>
  </w:style>
  <w:style w:type="paragraph" w:styleId="884">
    <w:name w:val="Heading 2"/>
    <w:basedOn w:val="882"/>
    <w:next w:val="882"/>
    <w:link w:val="910"/>
    <w:uiPriority w:val="9"/>
    <w:semiHidden/>
    <w:unhideWhenUsed/>
    <w:qFormat/>
    <w:pPr>
      <w:keepNext/>
      <w:spacing w:before="240" w:after="60"/>
      <w:outlineLvl w:val="1"/>
    </w:pPr>
    <w:rPr>
      <w:rFonts w:asciiTheme="majorHAnsi" w:hAnsiTheme="majorHAnsi" w:eastAsiaTheme="majorEastAsia"/>
      <w:b/>
      <w:bCs/>
      <w:i/>
      <w:iCs/>
      <w:sz w:val="28"/>
      <w:szCs w:val="28"/>
    </w:rPr>
  </w:style>
  <w:style w:type="paragraph" w:styleId="885">
    <w:name w:val="Heading 3"/>
    <w:basedOn w:val="882"/>
    <w:next w:val="882"/>
    <w:link w:val="911"/>
    <w:uiPriority w:val="9"/>
    <w:semiHidden/>
    <w:unhideWhenUsed/>
    <w:qFormat/>
    <w:pPr>
      <w:keepNext/>
      <w:spacing w:before="240" w:after="60"/>
      <w:outlineLvl w:val="2"/>
    </w:pPr>
    <w:rPr>
      <w:rFonts w:asciiTheme="majorHAnsi" w:hAnsiTheme="majorHAnsi" w:eastAsiaTheme="majorEastAsia"/>
      <w:b/>
      <w:bCs/>
      <w:sz w:val="26"/>
      <w:szCs w:val="26"/>
    </w:rPr>
  </w:style>
  <w:style w:type="paragraph" w:styleId="886">
    <w:name w:val="Heading 4"/>
    <w:basedOn w:val="882"/>
    <w:next w:val="882"/>
    <w:link w:val="912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887">
    <w:name w:val="Heading 5"/>
    <w:basedOn w:val="882"/>
    <w:next w:val="882"/>
    <w:link w:val="913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88">
    <w:name w:val="Heading 6"/>
    <w:basedOn w:val="882"/>
    <w:next w:val="882"/>
    <w:link w:val="914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889">
    <w:name w:val="Heading 7"/>
    <w:basedOn w:val="882"/>
    <w:next w:val="882"/>
    <w:link w:val="915"/>
    <w:uiPriority w:val="9"/>
    <w:semiHidden/>
    <w:unhideWhenUsed/>
    <w:qFormat/>
    <w:pPr>
      <w:spacing w:before="240" w:after="60"/>
      <w:outlineLvl w:val="6"/>
    </w:pPr>
  </w:style>
  <w:style w:type="paragraph" w:styleId="890">
    <w:name w:val="Heading 8"/>
    <w:basedOn w:val="882"/>
    <w:next w:val="882"/>
    <w:link w:val="916"/>
    <w:uiPriority w:val="9"/>
    <w:semiHidden/>
    <w:unhideWhenUsed/>
    <w:qFormat/>
    <w:pPr>
      <w:spacing w:before="240" w:after="60"/>
      <w:outlineLvl w:val="7"/>
    </w:pPr>
    <w:rPr>
      <w:i/>
      <w:iCs/>
    </w:rPr>
  </w:style>
  <w:style w:type="paragraph" w:styleId="891">
    <w:name w:val="Heading 9"/>
    <w:basedOn w:val="882"/>
    <w:next w:val="882"/>
    <w:link w:val="917"/>
    <w:uiPriority w:val="9"/>
    <w:semiHidden/>
    <w:unhideWhenUsed/>
    <w:qFormat/>
    <w:pPr>
      <w:spacing w:before="240" w:after="60"/>
      <w:outlineLvl w:val="8"/>
    </w:pPr>
    <w:rPr>
      <w:rFonts w:asciiTheme="majorHAnsi" w:hAnsiTheme="majorHAnsi" w:eastAsiaTheme="majorEastAsia"/>
      <w:sz w:val="22"/>
      <w:szCs w:val="22"/>
    </w:rPr>
  </w:style>
  <w:style w:type="character" w:styleId="892" w:default="1">
    <w:name w:val="Default Paragraph Font"/>
    <w:uiPriority w:val="1"/>
    <w:semiHidden/>
    <w:unhideWhenUsed/>
  </w:style>
  <w:style w:type="table" w:styleId="8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4" w:default="1">
    <w:name w:val="No List"/>
    <w:uiPriority w:val="99"/>
    <w:semiHidden/>
    <w:unhideWhenUsed/>
  </w:style>
  <w:style w:type="paragraph" w:styleId="895" w:customStyle="1">
    <w:name w:val="ConsPlusNormal"/>
    <w:pPr>
      <w:ind w:firstLine="720"/>
      <w:widowControl w:val="off"/>
    </w:pPr>
    <w:rPr>
      <w:rFonts w:ascii="Arial" w:hAnsi="Arial" w:eastAsia="Calibri" w:cs="Arial"/>
      <w:sz w:val="20"/>
      <w:szCs w:val="20"/>
      <w:lang w:eastAsia="ru-RU"/>
    </w:rPr>
  </w:style>
  <w:style w:type="paragraph" w:styleId="896">
    <w:name w:val="Normal (Web)"/>
    <w:basedOn w:val="882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character" w:styleId="897">
    <w:name w:val="Strong"/>
    <w:basedOn w:val="892"/>
    <w:uiPriority w:val="22"/>
    <w:qFormat/>
    <w:rPr>
      <w:b/>
      <w:bCs/>
    </w:rPr>
  </w:style>
  <w:style w:type="character" w:styleId="898" w:customStyle="1">
    <w:name w:val="Верхний колонтитул Знак"/>
    <w:basedOn w:val="892"/>
    <w:link w:val="89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9">
    <w:name w:val="Header"/>
    <w:basedOn w:val="882"/>
    <w:link w:val="898"/>
    <w:uiPriority w:val="99"/>
    <w:pPr>
      <w:tabs>
        <w:tab w:val="center" w:pos="4153" w:leader="none"/>
        <w:tab w:val="right" w:pos="8306" w:leader="none"/>
      </w:tabs>
    </w:pPr>
    <w:rPr>
      <w:rFonts w:ascii="Times New Roman" w:hAnsi="Times New Roman"/>
    </w:rPr>
  </w:style>
  <w:style w:type="character" w:styleId="900" w:customStyle="1">
    <w:name w:val="Нижний колонтитул Знак"/>
    <w:basedOn w:val="892"/>
    <w:link w:val="901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01">
    <w:name w:val="Footer"/>
    <w:basedOn w:val="882"/>
    <w:link w:val="900"/>
    <w:uiPriority w:val="99"/>
    <w:pPr>
      <w:tabs>
        <w:tab w:val="center" w:pos="4153" w:leader="none"/>
        <w:tab w:val="right" w:pos="8306" w:leader="none"/>
      </w:tabs>
    </w:pPr>
    <w:rPr>
      <w:rFonts w:ascii="Times New Roman" w:hAnsi="Times New Roman"/>
    </w:rPr>
  </w:style>
  <w:style w:type="character" w:styleId="902" w:customStyle="1">
    <w:name w:val="Текст сноски Знак"/>
    <w:basedOn w:val="892"/>
    <w:link w:val="903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03">
    <w:name w:val="footnote text"/>
    <w:basedOn w:val="882"/>
    <w:link w:val="902"/>
    <w:uiPriority w:val="99"/>
    <w:semiHidden/>
    <w:rPr>
      <w:rFonts w:ascii="Times New Roman" w:hAnsi="Times New Roman"/>
    </w:rPr>
  </w:style>
  <w:style w:type="character" w:styleId="904" w:customStyle="1">
    <w:name w:val="Текст концевой сноски Знак"/>
    <w:basedOn w:val="892"/>
    <w:link w:val="905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05">
    <w:name w:val="endnote text"/>
    <w:basedOn w:val="882"/>
    <w:link w:val="904"/>
    <w:uiPriority w:val="99"/>
    <w:semiHidden/>
    <w:rPr>
      <w:rFonts w:ascii="Times New Roman" w:hAnsi="Times New Roman"/>
    </w:rPr>
  </w:style>
  <w:style w:type="character" w:styleId="906">
    <w:name w:val="endnote reference"/>
    <w:basedOn w:val="892"/>
    <w:uiPriority w:val="99"/>
    <w:semiHidden/>
    <w:rPr>
      <w:rFonts w:cs="Times New Roman"/>
      <w:vertAlign w:val="superscript"/>
    </w:rPr>
  </w:style>
  <w:style w:type="paragraph" w:styleId="907">
    <w:name w:val="No Spacing"/>
    <w:basedOn w:val="882"/>
    <w:uiPriority w:val="1"/>
    <w:qFormat/>
    <w:rPr>
      <w:szCs w:val="32"/>
    </w:rPr>
  </w:style>
  <w:style w:type="paragraph" w:styleId="908">
    <w:name w:val="List Paragraph"/>
    <w:basedOn w:val="882"/>
    <w:uiPriority w:val="34"/>
    <w:qFormat/>
    <w:pPr>
      <w:contextualSpacing/>
      <w:ind w:left="720"/>
    </w:pPr>
  </w:style>
  <w:style w:type="character" w:styleId="909" w:customStyle="1">
    <w:name w:val="Заголовок 1 Знак"/>
    <w:basedOn w:val="892"/>
    <w:link w:val="883"/>
    <w:uiPriority w:val="9"/>
    <w:rPr>
      <w:rFonts w:asciiTheme="majorHAnsi" w:hAnsiTheme="majorHAnsi" w:eastAsiaTheme="majorEastAsia"/>
      <w:b/>
      <w:bCs/>
      <w:sz w:val="32"/>
      <w:szCs w:val="32"/>
    </w:rPr>
  </w:style>
  <w:style w:type="character" w:styleId="910" w:customStyle="1">
    <w:name w:val="Заголовок 2 Знак"/>
    <w:basedOn w:val="892"/>
    <w:link w:val="884"/>
    <w:uiPriority w:val="9"/>
    <w:semiHidden/>
    <w:rPr>
      <w:rFonts w:asciiTheme="majorHAnsi" w:hAnsiTheme="majorHAnsi" w:eastAsiaTheme="majorEastAsia"/>
      <w:b/>
      <w:bCs/>
      <w:i/>
      <w:iCs/>
      <w:sz w:val="28"/>
      <w:szCs w:val="28"/>
    </w:rPr>
  </w:style>
  <w:style w:type="character" w:styleId="911" w:customStyle="1">
    <w:name w:val="Заголовок 3 Знак"/>
    <w:basedOn w:val="892"/>
    <w:link w:val="885"/>
    <w:uiPriority w:val="9"/>
    <w:semiHidden/>
    <w:rPr>
      <w:rFonts w:asciiTheme="majorHAnsi" w:hAnsiTheme="majorHAnsi" w:eastAsiaTheme="majorEastAsia"/>
      <w:b/>
      <w:bCs/>
      <w:sz w:val="26"/>
      <w:szCs w:val="26"/>
    </w:rPr>
  </w:style>
  <w:style w:type="character" w:styleId="912" w:customStyle="1">
    <w:name w:val="Заголовок 4 Знак"/>
    <w:basedOn w:val="892"/>
    <w:link w:val="886"/>
    <w:uiPriority w:val="9"/>
    <w:semiHidden/>
    <w:rPr>
      <w:b/>
      <w:bCs/>
      <w:sz w:val="28"/>
      <w:szCs w:val="28"/>
    </w:rPr>
  </w:style>
  <w:style w:type="character" w:styleId="913" w:customStyle="1">
    <w:name w:val="Заголовок 5 Знак"/>
    <w:basedOn w:val="892"/>
    <w:link w:val="887"/>
    <w:uiPriority w:val="9"/>
    <w:semiHidden/>
    <w:rPr>
      <w:b/>
      <w:bCs/>
      <w:i/>
      <w:iCs/>
      <w:sz w:val="26"/>
      <w:szCs w:val="26"/>
    </w:rPr>
  </w:style>
  <w:style w:type="character" w:styleId="914" w:customStyle="1">
    <w:name w:val="Заголовок 6 Знак"/>
    <w:basedOn w:val="892"/>
    <w:link w:val="888"/>
    <w:uiPriority w:val="9"/>
    <w:semiHidden/>
    <w:rPr>
      <w:b/>
      <w:bCs/>
    </w:rPr>
  </w:style>
  <w:style w:type="character" w:styleId="915" w:customStyle="1">
    <w:name w:val="Заголовок 7 Знак"/>
    <w:basedOn w:val="892"/>
    <w:link w:val="889"/>
    <w:uiPriority w:val="9"/>
    <w:semiHidden/>
    <w:rPr>
      <w:sz w:val="24"/>
      <w:szCs w:val="24"/>
    </w:rPr>
  </w:style>
  <w:style w:type="character" w:styleId="916" w:customStyle="1">
    <w:name w:val="Заголовок 8 Знак"/>
    <w:basedOn w:val="892"/>
    <w:link w:val="890"/>
    <w:uiPriority w:val="9"/>
    <w:semiHidden/>
    <w:rPr>
      <w:i/>
      <w:iCs/>
      <w:sz w:val="24"/>
      <w:szCs w:val="24"/>
    </w:rPr>
  </w:style>
  <w:style w:type="character" w:styleId="917" w:customStyle="1">
    <w:name w:val="Заголовок 9 Знак"/>
    <w:basedOn w:val="892"/>
    <w:link w:val="891"/>
    <w:uiPriority w:val="9"/>
    <w:semiHidden/>
    <w:rPr>
      <w:rFonts w:asciiTheme="majorHAnsi" w:hAnsiTheme="majorHAnsi" w:eastAsiaTheme="majorEastAsia"/>
    </w:rPr>
  </w:style>
  <w:style w:type="paragraph" w:styleId="918">
    <w:name w:val="Title"/>
    <w:basedOn w:val="882"/>
    <w:next w:val="882"/>
    <w:link w:val="919"/>
    <w:uiPriority w:val="10"/>
    <w:qFormat/>
    <w:pPr>
      <w:jc w:val="center"/>
      <w:spacing w:before="240" w:after="60"/>
      <w:outlineLvl w:val="0"/>
    </w:pPr>
    <w:rPr>
      <w:rFonts w:asciiTheme="majorHAnsi" w:hAnsiTheme="majorHAnsi" w:eastAsiaTheme="majorEastAsia"/>
      <w:b/>
      <w:bCs/>
      <w:sz w:val="32"/>
      <w:szCs w:val="32"/>
    </w:rPr>
  </w:style>
  <w:style w:type="character" w:styleId="919" w:customStyle="1">
    <w:name w:val="Название Знак"/>
    <w:basedOn w:val="892"/>
    <w:link w:val="918"/>
    <w:uiPriority w:val="10"/>
    <w:rPr>
      <w:rFonts w:asciiTheme="majorHAnsi" w:hAnsiTheme="majorHAnsi" w:eastAsiaTheme="majorEastAsia"/>
      <w:b/>
      <w:bCs/>
      <w:sz w:val="32"/>
      <w:szCs w:val="32"/>
    </w:rPr>
  </w:style>
  <w:style w:type="paragraph" w:styleId="920">
    <w:name w:val="Subtitle"/>
    <w:basedOn w:val="882"/>
    <w:next w:val="882"/>
    <w:link w:val="921"/>
    <w:uiPriority w:val="11"/>
    <w:qFormat/>
    <w:pPr>
      <w:jc w:val="center"/>
      <w:spacing w:after="60"/>
      <w:outlineLvl w:val="1"/>
    </w:pPr>
    <w:rPr>
      <w:rFonts w:asciiTheme="majorHAnsi" w:hAnsiTheme="majorHAnsi" w:eastAsiaTheme="majorEastAsia"/>
    </w:rPr>
  </w:style>
  <w:style w:type="character" w:styleId="921" w:customStyle="1">
    <w:name w:val="Подзаголовок Знак"/>
    <w:basedOn w:val="892"/>
    <w:link w:val="920"/>
    <w:uiPriority w:val="11"/>
    <w:rPr>
      <w:rFonts w:asciiTheme="majorHAnsi" w:hAnsiTheme="majorHAnsi" w:eastAsiaTheme="majorEastAsia"/>
      <w:sz w:val="24"/>
      <w:szCs w:val="24"/>
    </w:rPr>
  </w:style>
  <w:style w:type="character" w:styleId="922">
    <w:name w:val="Emphasis"/>
    <w:basedOn w:val="892"/>
    <w:uiPriority w:val="20"/>
    <w:qFormat/>
    <w:rPr>
      <w:rFonts w:asciiTheme="minorHAnsi" w:hAnsiTheme="minorHAnsi"/>
      <w:b/>
      <w:i/>
      <w:iCs/>
    </w:rPr>
  </w:style>
  <w:style w:type="paragraph" w:styleId="923">
    <w:name w:val="Quote"/>
    <w:basedOn w:val="882"/>
    <w:next w:val="882"/>
    <w:link w:val="924"/>
    <w:uiPriority w:val="29"/>
    <w:qFormat/>
    <w:rPr>
      <w:i/>
    </w:rPr>
  </w:style>
  <w:style w:type="character" w:styleId="924" w:customStyle="1">
    <w:name w:val="Цитата 2 Знак"/>
    <w:basedOn w:val="892"/>
    <w:link w:val="923"/>
    <w:uiPriority w:val="29"/>
    <w:rPr>
      <w:i/>
      <w:sz w:val="24"/>
      <w:szCs w:val="24"/>
    </w:rPr>
  </w:style>
  <w:style w:type="paragraph" w:styleId="925">
    <w:name w:val="Intense Quote"/>
    <w:basedOn w:val="882"/>
    <w:next w:val="882"/>
    <w:link w:val="926"/>
    <w:uiPriority w:val="30"/>
    <w:qFormat/>
    <w:pPr>
      <w:ind w:left="720" w:right="720"/>
    </w:pPr>
    <w:rPr>
      <w:b/>
      <w:i/>
      <w:szCs w:val="22"/>
    </w:rPr>
  </w:style>
  <w:style w:type="character" w:styleId="926" w:customStyle="1">
    <w:name w:val="Выделенная цитата Знак"/>
    <w:basedOn w:val="892"/>
    <w:link w:val="925"/>
    <w:uiPriority w:val="30"/>
    <w:rPr>
      <w:b/>
      <w:i/>
      <w:sz w:val="24"/>
    </w:rPr>
  </w:style>
  <w:style w:type="character" w:styleId="927">
    <w:name w:val="Subtle Emphasis"/>
    <w:uiPriority w:val="19"/>
    <w:qFormat/>
    <w:rPr>
      <w:i/>
      <w:color w:val="5a5a5a" w:themeColor="text1" w:themeTint="A5"/>
    </w:rPr>
  </w:style>
  <w:style w:type="character" w:styleId="928">
    <w:name w:val="Intense Emphasis"/>
    <w:basedOn w:val="892"/>
    <w:uiPriority w:val="21"/>
    <w:qFormat/>
    <w:rPr>
      <w:b/>
      <w:i/>
      <w:sz w:val="24"/>
      <w:szCs w:val="24"/>
      <w:u w:val="single"/>
    </w:rPr>
  </w:style>
  <w:style w:type="character" w:styleId="929">
    <w:name w:val="Subtle Reference"/>
    <w:basedOn w:val="892"/>
    <w:uiPriority w:val="31"/>
    <w:qFormat/>
    <w:rPr>
      <w:sz w:val="24"/>
      <w:szCs w:val="24"/>
      <w:u w:val="single"/>
    </w:rPr>
  </w:style>
  <w:style w:type="character" w:styleId="930">
    <w:name w:val="Intense Reference"/>
    <w:basedOn w:val="892"/>
    <w:uiPriority w:val="32"/>
    <w:qFormat/>
    <w:rPr>
      <w:b/>
      <w:sz w:val="24"/>
      <w:u w:val="single"/>
    </w:rPr>
  </w:style>
  <w:style w:type="character" w:styleId="931">
    <w:name w:val="Book Title"/>
    <w:basedOn w:val="892"/>
    <w:uiPriority w:val="33"/>
    <w:qFormat/>
    <w:rPr>
      <w:rFonts w:asciiTheme="majorHAnsi" w:hAnsiTheme="majorHAnsi" w:eastAsiaTheme="majorEastAsia"/>
      <w:b/>
      <w:i/>
      <w:sz w:val="24"/>
      <w:szCs w:val="24"/>
    </w:rPr>
  </w:style>
  <w:style w:type="paragraph" w:styleId="932">
    <w:name w:val="TOC Heading"/>
    <w:basedOn w:val="883"/>
    <w:next w:val="882"/>
    <w:uiPriority w:val="39"/>
    <w:semiHidden/>
    <w:unhideWhenUsed/>
    <w:qFormat/>
    <w:pPr>
      <w:outlineLvl w:val="9"/>
    </w:pPr>
  </w:style>
  <w:style w:type="paragraph" w:styleId="933">
    <w:name w:val="Balloon Text"/>
    <w:basedOn w:val="882"/>
    <w:link w:val="934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34" w:customStyle="1">
    <w:name w:val="Текст выноски Знак"/>
    <w:basedOn w:val="892"/>
    <w:link w:val="93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Чепчугова М.В.</dc:creator>
  <cp:keywords/>
  <dc:description/>
  <cp:lastModifiedBy>lebedeva_aa</cp:lastModifiedBy>
  <cp:revision>41</cp:revision>
  <dcterms:created xsi:type="dcterms:W3CDTF">2022-04-18T08:57:00Z</dcterms:created>
  <dcterms:modified xsi:type="dcterms:W3CDTF">2026-07-10T02:30:11Z</dcterms:modified>
</cp:coreProperties>
</file>