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УТВЕРЖДЕНО </w:t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12"/>
          <w:szCs w:val="12"/>
        </w:rPr>
      </w:pPr>
      <w:r>
        <w:rPr>
          <w:rFonts w:ascii="Times New Roman" w:hAnsi="Times New Roman" w:eastAsia="Calibri"/>
          <w:sz w:val="12"/>
          <w:szCs w:val="12"/>
        </w:rPr>
      </w:r>
      <w:r>
        <w:rPr>
          <w:rFonts w:ascii="Times New Roman" w:hAnsi="Times New Roman" w:eastAsia="Calibri"/>
          <w:sz w:val="12"/>
          <w:szCs w:val="12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постановлением</w:t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/>
          <w:sz w:val="24"/>
          <w:szCs w:val="24"/>
        </w:rPr>
        <w:t xml:space="preserve"> ЗАТО Северск</w:t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от _27.07.2026__№ __1514-па__</w:t>
      </w:r>
      <w:r>
        <w:rPr>
          <w:rFonts w:ascii="Times New Roman" w:hAnsi="Times New Roman" w:eastAsia="Calibri"/>
          <w:sz w:val="24"/>
          <w:szCs w:val="24"/>
        </w:rPr>
      </w:r>
    </w:p>
    <w:p>
      <w:pPr>
        <w:pStyle w:val="873"/>
        <w:ind w:firstLine="709"/>
        <w:jc w:val="center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873"/>
        <w:ind w:firstLine="709"/>
        <w:jc w:val="center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873"/>
        <w:ind w:firstLine="709"/>
        <w:jc w:val="center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 xml:space="preserve">ПОЛОЖЕНИЕ</w:t>
      </w:r>
      <w:r>
        <w:rPr>
          <w:bCs/>
          <w:color w:val="000000"/>
        </w:rPr>
      </w:r>
    </w:p>
    <w:p>
      <w:pPr>
        <w:pStyle w:val="873"/>
        <w:ind w:firstLine="709"/>
        <w:jc w:val="center"/>
        <w:spacing w:before="0" w:beforeAutospacing="0" w:after="0" w:afterAutospacing="0"/>
        <w:rPr>
          <w:color w:val="000000"/>
        </w:rPr>
      </w:pPr>
      <w:r>
        <w:rPr>
          <w:bCs/>
          <w:color w:val="000000"/>
        </w:rPr>
        <w:t xml:space="preserve">о технической комиссии по установлению причин нарушения законодательства </w:t>
      </w:r>
      <w:r>
        <w:rPr>
          <w:bCs/>
          <w:color w:val="000000"/>
        </w:rPr>
        <w:br/>
        <w:t xml:space="preserve">о градостроительной деятельности</w:t>
      </w:r>
      <w:r>
        <w:rPr>
          <w:color w:val="000000"/>
        </w:rPr>
      </w:r>
    </w:p>
    <w:p>
      <w:pPr>
        <w:pStyle w:val="873"/>
        <w:ind w:firstLine="709"/>
        <w:jc w:val="center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 Техническая комиссия по установлению причин нарушения законодательства </w:t>
      </w:r>
      <w:r>
        <w:rPr>
          <w:color w:val="000000"/>
        </w:rPr>
        <w:br/>
        <w:t xml:space="preserve">о градостроительной деятельности на территории </w:t>
      </w:r>
      <w:r>
        <w:t xml:space="preserve">городского </w:t>
      </w:r>
      <w:r>
        <w:t xml:space="preserve">округа</w:t>
      </w:r>
      <w:r>
        <w:t xml:space="preserve"> ЗАТО Северск Томской области </w:t>
      </w:r>
      <w:r>
        <w:rPr>
          <w:color w:val="000000"/>
        </w:rPr>
        <w:t xml:space="preserve">(далее</w:t>
      </w:r>
      <w:r>
        <w:t xml:space="preserve"> – </w:t>
      </w:r>
      <w:r>
        <w:rPr>
          <w:color w:val="000000"/>
        </w:rPr>
        <w:t xml:space="preserve">техническая комиссия) не является постоянно действующим органом </w:t>
      </w:r>
      <w:r>
        <w:rPr>
          <w:color w:val="000000"/>
        </w:rPr>
        <w:br/>
      </w:r>
      <w:r>
        <w:rPr>
          <w:color w:val="000000"/>
        </w:rPr>
        <w:t xml:space="preserve">и создается в каждом отдельном случае.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 Состав технической комиссии должен насчитывать не менее пяти человек </w:t>
      </w:r>
      <w:r>
        <w:rPr>
          <w:color w:val="000000"/>
        </w:rPr>
        <w:br/>
      </w:r>
      <w:bookmarkStart w:id="0" w:name="_GoBack"/>
      <w:r/>
      <w:bookmarkEnd w:id="0"/>
      <w:r>
        <w:rPr>
          <w:color w:val="000000"/>
        </w:rPr>
        <w:t xml:space="preserve">и </w:t>
      </w:r>
      <w:r>
        <w:rPr>
          <w:color w:val="000000"/>
        </w:rPr>
        <w:t xml:space="preserve">формир</w:t>
      </w:r>
      <w:r>
        <w:rPr>
          <w:color w:val="000000"/>
        </w:rPr>
        <w:t xml:space="preserve">оваться</w:t>
      </w:r>
      <w:r>
        <w:rPr>
          <w:color w:val="000000"/>
        </w:rPr>
        <w:t xml:space="preserve"> из числа работни</w:t>
      </w:r>
      <w:r>
        <w:rPr>
          <w:color w:val="000000"/>
        </w:rPr>
        <w:t xml:space="preserve">ков Администрации ЗАТО Северск, </w:t>
      </w:r>
      <w:r>
        <w:rPr>
          <w:color w:val="000000"/>
        </w:rPr>
        <w:t xml:space="preserve">включать</w:t>
      </w:r>
      <w:r>
        <w:rPr>
          <w:color w:val="000000"/>
        </w:rPr>
        <w:t xml:space="preserve"> </w:t>
      </w:r>
      <w:r>
        <w:rPr>
          <w:color w:val="000000"/>
        </w:rPr>
        <w:t xml:space="preserve">председателя</w:t>
      </w:r>
      <w:r>
        <w:rPr>
          <w:color w:val="000000"/>
        </w:rPr>
        <w:t xml:space="preserve"> тех</w:t>
      </w:r>
      <w:r>
        <w:rPr>
          <w:color w:val="000000"/>
        </w:rPr>
        <w:t xml:space="preserve">нической</w:t>
      </w:r>
      <w:r>
        <w:rPr>
          <w:color w:val="000000"/>
        </w:rPr>
        <w:t xml:space="preserve"> комис</w:t>
      </w:r>
      <w:r>
        <w:rPr>
          <w:color w:val="000000"/>
        </w:rPr>
        <w:t xml:space="preserve">сии</w:t>
      </w:r>
      <w:r>
        <w:rPr>
          <w:color w:val="000000"/>
        </w:rPr>
        <w:t xml:space="preserve">, заместит</w:t>
      </w:r>
      <w:r>
        <w:rPr>
          <w:color w:val="000000"/>
        </w:rPr>
        <w:t xml:space="preserve">еля</w:t>
      </w:r>
      <w:r>
        <w:rPr>
          <w:color w:val="000000"/>
        </w:rPr>
        <w:t xml:space="preserve"> пред</w:t>
      </w:r>
      <w:r>
        <w:rPr>
          <w:color w:val="000000"/>
        </w:rPr>
        <w:t xml:space="preserve">седателя</w:t>
      </w:r>
      <w:r>
        <w:rPr>
          <w:color w:val="000000"/>
        </w:rPr>
        <w:t xml:space="preserve"> </w:t>
      </w:r>
      <w:r>
        <w:rPr>
          <w:color w:val="000000"/>
        </w:rPr>
        <w:t xml:space="preserve">технической комиссии </w:t>
      </w:r>
      <w:r>
        <w:rPr>
          <w:color w:val="000000"/>
        </w:rPr>
        <w:t xml:space="preserve">и секретаря </w:t>
      </w:r>
      <w:r>
        <w:rPr>
          <w:color w:val="000000"/>
        </w:rPr>
        <w:t xml:space="preserve">технической комиссии</w:t>
      </w:r>
      <w:r>
        <w:rPr>
          <w:color w:val="000000"/>
        </w:rPr>
        <w:t xml:space="preserve">. Пр</w:t>
      </w:r>
      <w:r>
        <w:rPr>
          <w:color w:val="000000"/>
        </w:rPr>
        <w:t xml:space="preserve">едсед</w:t>
      </w:r>
      <w:r>
        <w:rPr>
          <w:color w:val="000000"/>
        </w:rPr>
        <w:t xml:space="preserve">ателем</w:t>
      </w:r>
      <w:r>
        <w:rPr>
          <w:color w:val="000000"/>
        </w:rPr>
        <w:t xml:space="preserve"> </w:t>
      </w:r>
      <w:r>
        <w:rPr>
          <w:color w:val="000000"/>
        </w:rPr>
        <w:t xml:space="preserve">технической комиссии </w:t>
      </w:r>
      <w:r>
        <w:rPr>
          <w:color w:val="000000"/>
        </w:rPr>
        <w:t xml:space="preserve">назначается</w:t>
      </w:r>
      <w:r>
        <w:rPr>
          <w:color w:val="000000"/>
        </w:rPr>
        <w:t xml:space="preserve"> </w:t>
      </w:r>
      <w:r>
        <w:rPr>
          <w:color w:val="000000"/>
        </w:rPr>
        <w:t xml:space="preserve">Мэр</w:t>
      </w:r>
      <w:r>
        <w:rPr>
          <w:color w:val="000000"/>
        </w:rPr>
        <w:t xml:space="preserve"> </w:t>
      </w:r>
      <w:r>
        <w:t xml:space="preserve">ЗАТО Северск</w:t>
      </w:r>
      <w:r>
        <w:rPr>
          <w:color w:val="000000"/>
        </w:rPr>
        <w:t xml:space="preserve">. 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Дополнительно к работе технической комиссии</w:t>
      </w:r>
      <w:r>
        <w:rPr>
          <w:color w:val="000000"/>
        </w:rPr>
        <w:t xml:space="preserve"> </w:t>
      </w:r>
      <w:r>
        <w:rPr>
          <w:color w:val="000000"/>
        </w:rPr>
        <w:t xml:space="preserve">могут привлекаться специалисты научно-исследовательских и проектных институтов, независимые эксперты, представители профильных организаций и учреждений, представители государственных надзорных органов.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В качестве наблюдателей при установлении причин нарушения законодательства </w:t>
      </w:r>
      <w:r>
        <w:rPr>
          <w:color w:val="000000"/>
        </w:rPr>
        <w:br/>
        <w:t xml:space="preserve">о градостроительной деятельности, в результате которого причинен вред, </w:t>
      </w:r>
      <w:r>
        <w:rPr>
          <w:color w:val="000000"/>
        </w:rPr>
        <w:t xml:space="preserve">в работе технической комиссии </w:t>
      </w:r>
      <w:r>
        <w:rPr>
          <w:color w:val="000000"/>
        </w:rPr>
        <w:t xml:space="preserve">могут принимать участие </w:t>
      </w:r>
      <w:r>
        <w:rPr>
          <w:color w:val="000000"/>
        </w:rPr>
        <w:t xml:space="preserve">следующ</w:t>
      </w:r>
      <w:r>
        <w:rPr>
          <w:color w:val="000000"/>
        </w:rPr>
        <w:t xml:space="preserve">ие</w:t>
      </w:r>
      <w:r>
        <w:rPr>
          <w:color w:val="000000"/>
        </w:rPr>
        <w:t xml:space="preserve"> </w:t>
      </w:r>
      <w:r>
        <w:rPr>
          <w:color w:val="000000"/>
        </w:rPr>
        <w:t xml:space="preserve">заинтересованные лица</w:t>
      </w:r>
      <w:r>
        <w:t xml:space="preserve">:</w:t>
      </w:r>
      <w:r>
        <w:t xml:space="preserve"> </w:t>
      </w:r>
      <w:r>
        <w:rPr>
          <w:color w:val="000000"/>
        </w:rPr>
        <w:t xml:space="preserve">застройщик, заказчик, лицо, выполняющее инженерные изыскания, лицо, осуществляющее подготовку проектной документации, лиц</w:t>
      </w:r>
      <w:r>
        <w:rPr>
          <w:color w:val="000000"/>
        </w:rPr>
        <w:t xml:space="preserve">о, осуществляющее строительство </w:t>
      </w:r>
      <w:r>
        <w:rPr>
          <w:color w:val="000000"/>
        </w:rPr>
        <w:br/>
      </w:r>
      <w:r>
        <w:rPr>
          <w:color w:val="000000"/>
        </w:rPr>
        <w:t xml:space="preserve">(их представители), </w:t>
      </w:r>
      <w:r>
        <w:rPr>
          <w:color w:val="000000"/>
        </w:rPr>
        <w:t xml:space="preserve">специализированная экспертная организация в области проектирования </w:t>
      </w:r>
      <w:r>
        <w:rPr>
          <w:color w:val="000000"/>
        </w:rPr>
        <w:br/>
      </w:r>
      <w:r>
        <w:rPr>
          <w:color w:val="000000"/>
        </w:rPr>
        <w:t xml:space="preserve">и строительства и представители граждан и их объединений.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 Заседание технической комиссии считается правомочным, если в нем принимают участие не менее половины от общего числа </w:t>
      </w:r>
      <w:r>
        <w:rPr>
          <w:color w:val="000000"/>
        </w:rPr>
        <w:t xml:space="preserve">членов </w:t>
      </w:r>
      <w:r>
        <w:rPr>
          <w:color w:val="000000"/>
        </w:rPr>
        <w:t xml:space="preserve">утвержденного состава. В случае отсутствия члена </w:t>
      </w:r>
      <w:r>
        <w:rPr>
          <w:color w:val="000000"/>
        </w:rPr>
        <w:t xml:space="preserve">технической комиссии </w:t>
      </w:r>
      <w:r>
        <w:rPr>
          <w:color w:val="000000"/>
        </w:rPr>
        <w:t xml:space="preserve">на заседании </w:t>
      </w:r>
      <w:r>
        <w:rPr>
          <w:color w:val="000000"/>
        </w:rPr>
        <w:t xml:space="preserve">технической комиссии </w:t>
      </w:r>
      <w:r>
        <w:rPr>
          <w:color w:val="000000"/>
        </w:rPr>
        <w:t xml:space="preserve">он имеет право изложить свое мнение в письменной форме, направив его секрета</w:t>
      </w:r>
      <w:r>
        <w:rPr>
          <w:color w:val="000000"/>
        </w:rPr>
        <w:t xml:space="preserve">рю технической комиссии. Решение технической комиссии принимае</w:t>
      </w:r>
      <w:r>
        <w:rPr>
          <w:color w:val="000000"/>
        </w:rPr>
        <w:t xml:space="preserve">тся большинством голосов присутствующих </w:t>
      </w:r>
      <w:r>
        <w:rPr>
          <w:color w:val="000000"/>
        </w:rPr>
        <w:br/>
      </w:r>
      <w:r>
        <w:rPr>
          <w:color w:val="000000"/>
        </w:rPr>
        <w:t xml:space="preserve">на заседании членов</w:t>
      </w:r>
      <w:r>
        <w:rPr>
          <w:color w:val="000000"/>
        </w:rPr>
        <w:t xml:space="preserve"> </w:t>
      </w:r>
      <w:r>
        <w:rPr>
          <w:color w:val="000000"/>
        </w:rPr>
        <w:t xml:space="preserve">технической комиссии</w:t>
      </w:r>
      <w:r>
        <w:rPr>
          <w:color w:val="000000"/>
        </w:rPr>
        <w:t xml:space="preserve">. При равенстве голосов членов </w:t>
      </w:r>
      <w:r>
        <w:rPr>
          <w:color w:val="000000"/>
        </w:rPr>
        <w:t xml:space="preserve">технической комиссии </w:t>
      </w:r>
      <w:r>
        <w:rPr>
          <w:color w:val="000000"/>
        </w:rPr>
        <w:t xml:space="preserve">голос председательствующего на заседании </w:t>
      </w:r>
      <w:r>
        <w:rPr>
          <w:color w:val="000000"/>
        </w:rPr>
        <w:t xml:space="preserve">технической комиссии </w:t>
      </w:r>
      <w:r>
        <w:rPr>
          <w:color w:val="000000"/>
        </w:rPr>
        <w:t xml:space="preserve">является решающим.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4. Для установления причин нарушения законодательства о градостроительной деятельности и определения лиц, допустивших такое нарушение, техническая комиссия: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) запрашивает и изучает материалы инженерных изысканий, всю исходно- разрешительную и проектную документацию, на основании которой осуществляется либо осуществлялось строительство, реконструкция, капитальный ремонт объекта капитального строительства;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</w:t>
      </w:r>
      <w:r>
        <w:rPr>
          <w:color w:val="000000"/>
        </w:rPr>
        <w:t xml:space="preserve">) устанавливает наличие документов, подтверждающих со</w:t>
      </w:r>
      <w:r>
        <w:rPr>
          <w:color w:val="000000"/>
        </w:rPr>
        <w:t xml:space="preserve">гласование проектной документации с государственными надзорными органами в соответствии с действующим законодательством, наличие положительных государственных экспертиз проектной документации (в предусмотренных законом случаях), наличие других необходимых </w:t>
      </w:r>
      <w:r>
        <w:rPr>
          <w:color w:val="000000"/>
        </w:rPr>
        <w:br/>
        <w:t xml:space="preserve">для строительства и эксплуатации объекта документов;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</w:t>
      </w:r>
      <w:r>
        <w:rPr>
          <w:color w:val="000000"/>
        </w:rPr>
        <w:t xml:space="preserve">) осуществляет проверку исполнительной документации по объекту строительства; 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</w:t>
      </w:r>
      <w:r>
        <w:rPr>
          <w:color w:val="000000"/>
        </w:rPr>
        <w:t xml:space="preserve">) проверяет факт направления лицом, осуществляющим строительство, реконструкцию, капитальный ремонт объекта капитального строительства</w:t>
      </w:r>
      <w:r>
        <w:rPr>
          <w:color w:val="000000"/>
        </w:rPr>
        <w:t xml:space="preserve">,</w:t>
      </w:r>
      <w:r>
        <w:rPr>
          <w:color w:val="000000"/>
        </w:rPr>
        <w:t xml:space="preserve"> информации </w:t>
      </w:r>
      <w:r>
        <w:rPr>
          <w:color w:val="000000"/>
        </w:rPr>
        <w:br/>
        <w:t xml:space="preserve">о начале строительства и об окончании очередного этапа строительства объекта в орган, </w:t>
      </w:r>
      <w:r>
        <w:rPr>
          <w:color w:val="000000"/>
        </w:rPr>
        <w:t xml:space="preserve">осуществляющий государственный строительный надзор, если осуществление такого надзора предусмотрено законодательством;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</w:t>
      </w:r>
      <w:r>
        <w:rPr>
          <w:color w:val="000000"/>
        </w:rPr>
        <w:t xml:space="preserve">) устанавливает соответствие физических и юридических лиц, осуществляющих проектирование, строительство (либо выполняющих отдельные виды работ) </w:t>
      </w:r>
      <w:r>
        <w:rPr>
          <w:color w:val="000000"/>
        </w:rPr>
        <w:br/>
        <w:t xml:space="preserve">и эксплуатацию объекта, требованиям законодательства Российской Федерации, предъявляемым к таким лицам;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6</w:t>
      </w:r>
      <w:r>
        <w:rPr>
          <w:color w:val="000000"/>
        </w:rPr>
        <w:t xml:space="preserve">) производит осмотр здания, сооружения, на котором допущено нарушение</w:t>
      </w:r>
      <w:r>
        <w:rPr>
          <w:color w:val="000000"/>
        </w:rPr>
        <w:t xml:space="preserve"> законодательства о градостроительной деятельности</w:t>
      </w:r>
      <w:r>
        <w:rPr>
          <w:color w:val="000000"/>
        </w:rPr>
        <w:t xml:space="preserve">, с целью проверки соответствия строительства, реконструкции, капитального ремонта объекта капитального строительства выданному разрешению на строительство, реконструкцию, капитальный ремонт</w:t>
      </w:r>
      <w:r>
        <w:rPr>
          <w:color w:val="000000"/>
        </w:rPr>
        <w:t xml:space="preserve">,</w:t>
      </w:r>
      <w:r>
        <w:rPr>
          <w:color w:val="000000"/>
        </w:rPr>
        <w:t xml:space="preserve"> проектной документации, строительным нормам и правилам, техническим регламентам, требованиям градостроительного плана земельного участка;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7</w:t>
      </w:r>
      <w:r>
        <w:rPr>
          <w:color w:val="000000"/>
        </w:rPr>
        <w:t xml:space="preserve">) устанавливает наличие разрешения на ввод объекта в эксплуатацию, наличие необходимых заключений государственных надзорных органов, других документов, предъявляемых для получения разрешения на ввод объекта в эксплуатацию, </w:t>
      </w:r>
      <w:r>
        <w:rPr>
          <w:color w:val="000000"/>
        </w:rPr>
        <w:br/>
      </w:r>
      <w:r>
        <w:rPr>
          <w:color w:val="000000"/>
        </w:rPr>
        <w:t xml:space="preserve">в отношении </w:t>
      </w:r>
      <w:r>
        <w:rPr>
          <w:color w:val="000000"/>
        </w:rPr>
        <w:t xml:space="preserve">эксплуатируемы</w:t>
      </w:r>
      <w:r>
        <w:rPr>
          <w:color w:val="000000"/>
        </w:rPr>
        <w:t xml:space="preserve">х</w:t>
      </w:r>
      <w:r>
        <w:rPr>
          <w:color w:val="000000"/>
        </w:rPr>
        <w:t xml:space="preserve"> объект</w:t>
      </w:r>
      <w:r>
        <w:rPr>
          <w:color w:val="000000"/>
        </w:rPr>
        <w:t xml:space="preserve">ов</w:t>
      </w:r>
      <w:r>
        <w:rPr>
          <w:color w:val="000000"/>
        </w:rPr>
        <w:t xml:space="preserve">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8</w:t>
      </w:r>
      <w:r>
        <w:rPr>
          <w:color w:val="000000"/>
        </w:rPr>
        <w:t xml:space="preserve">) предпринимает все необходимые действия для установления причин нарушения законодательства о градостроительной деятельности.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 Техническая комиссия имеет право: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) про</w:t>
      </w:r>
      <w:r>
        <w:rPr>
          <w:color w:val="000000"/>
        </w:rPr>
        <w:t xml:space="preserve">водить осмотр объекта капитального строительства, а также имущества физических или юридических лиц, которым причинен вред, в том числе с применением фото- и видеосъемки, и оформлять акт осмотра с приложением необходимых документов, включая схемы и чертежи;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</w:t>
      </w:r>
      <w:r>
        <w:rPr>
          <w:color w:val="000000"/>
        </w:rPr>
        <w:t xml:space="preserve">) истребовать у юридических и физических лиц копии документов архитектурно-строительного проектирования объекта капитального строительства и иные документы, материалы и сведения;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</w:t>
      </w:r>
      <w:r>
        <w:rPr>
          <w:color w:val="000000"/>
        </w:rPr>
        <w:t xml:space="preserve">) получать от физических и (или) юридических лиц объяснения по факту причинения вреда;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</w:t>
      </w:r>
      <w:r>
        <w:rPr>
          <w:color w:val="000000"/>
        </w:rPr>
        <w:t xml:space="preserve">) организовывать проведение экспертиз, исследований, лабораторных и иных испытаний, а также оценки размера причиненного вреда.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6. Деятельностью технической комиссии руководит председатель</w:t>
      </w:r>
      <w:r>
        <w:rPr>
          <w:color w:val="000000"/>
        </w:rPr>
        <w:t xml:space="preserve"> </w:t>
      </w:r>
      <w:r>
        <w:rPr>
          <w:color w:val="000000"/>
        </w:rPr>
        <w:t xml:space="preserve">технической комиссии</w:t>
      </w:r>
      <w:r>
        <w:rPr>
          <w:color w:val="000000"/>
        </w:rPr>
        <w:t xml:space="preserve">, который принимает необходимые меры по обеспечению выполнения поставленных целей, организует ее работу, распределяет обязанности среди членов технической комиссии. </w:t>
      </w:r>
      <w:r>
        <w:rPr>
          <w:color w:val="000000"/>
        </w:rPr>
        <w:br/>
        <w:t xml:space="preserve">В отсутствие председателя </w:t>
      </w:r>
      <w:r>
        <w:rPr>
          <w:color w:val="000000"/>
        </w:rPr>
        <w:t xml:space="preserve">технической комиссии </w:t>
      </w:r>
      <w:r>
        <w:rPr>
          <w:color w:val="000000"/>
        </w:rPr>
        <w:t xml:space="preserve">его обязанности выполняет заместитель председат</w:t>
      </w:r>
      <w:r>
        <w:rPr>
          <w:color w:val="000000"/>
        </w:rPr>
        <w:t xml:space="preserve">еля технической комиссии. Секретарь технической комиссии ведет протоколы заседаний технической комиссии, направляет членам технической комиссии поручения председателя технической комиссии, контролирует их выполнение, сообщает членам технической комиссии о </w:t>
      </w:r>
      <w:r>
        <w:rPr>
          <w:color w:val="000000"/>
        </w:rPr>
        <w:t xml:space="preserve">дате, времени и месте </w:t>
      </w:r>
      <w:r>
        <w:rPr>
          <w:color w:val="000000"/>
        </w:rPr>
        <w:t xml:space="preserve">следующего заседания</w:t>
      </w:r>
      <w:r>
        <w:rPr>
          <w:color w:val="000000"/>
        </w:rPr>
        <w:t xml:space="preserve"> </w:t>
      </w:r>
      <w:r>
        <w:rPr>
          <w:color w:val="000000"/>
        </w:rPr>
        <w:t xml:space="preserve">технической комиссии</w:t>
      </w:r>
      <w:r>
        <w:rPr>
          <w:color w:val="000000"/>
        </w:rPr>
        <w:t xml:space="preserve">, готовит и направляет соответствующим лицам необходимые запросы, принимает поступающую информацию, выполняет иные действия.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Периодичность проведения заседаний технической комиссии определяется председателем</w:t>
      </w:r>
      <w:r>
        <w:rPr>
          <w:color w:val="000000"/>
        </w:rPr>
        <w:t xml:space="preserve"> </w:t>
      </w:r>
      <w:r>
        <w:rPr>
          <w:color w:val="000000"/>
        </w:rPr>
        <w:t xml:space="preserve">технической комиссии</w:t>
      </w:r>
      <w:r>
        <w:rPr>
          <w:color w:val="000000"/>
        </w:rPr>
        <w:t xml:space="preserve">. 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На заседании </w:t>
      </w:r>
      <w:r>
        <w:rPr>
          <w:color w:val="000000"/>
        </w:rPr>
        <w:t xml:space="preserve">технической комиссии </w:t>
      </w:r>
      <w:r>
        <w:rPr>
          <w:color w:val="000000"/>
        </w:rPr>
        <w:t xml:space="preserve">составляется план работы технической комиссии, принимаются решения о привлечении к работе технической комиссии дополнительных </w:t>
      </w:r>
      <w:r>
        <w:rPr>
          <w:color w:val="000000"/>
        </w:rPr>
        <w:br/>
      </w:r>
      <w:r>
        <w:rPr>
          <w:color w:val="000000"/>
        </w:rPr>
        <w:t xml:space="preserve">лиц, определяется перечень документов, подлежащих рассмотрению и приобщению к делу, принимаются меры по истребованию необходимых материалов и информации, распределяются обязанн</w:t>
      </w:r>
      <w:r>
        <w:rPr>
          <w:color w:val="000000"/>
        </w:rPr>
        <w:t xml:space="preserve">ости среди членов технической комиссии, в том числе касающиеся организации и проведения экспертиз, осмотра объекта, выяснения обстоятельств, указывающих на виновность лиц, допустивших нарушения, выполнения иных действий, необходимых для реализации функций.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7. В случае если техническая комиссия приходит к выводу о том, что причинение вреда физическим и (или) юридическим лицам не связано с нарушением законодательства </w:t>
      </w:r>
      <w:r>
        <w:rPr>
          <w:color w:val="000000"/>
        </w:rPr>
        <w:br/>
      </w:r>
      <w:r>
        <w:rPr>
          <w:color w:val="000000"/>
        </w:rPr>
        <w:t xml:space="preserve">о градостроительной деятельности, она определяет орган, которо</w:t>
      </w:r>
      <w:r>
        <w:rPr>
          <w:color w:val="000000"/>
        </w:rPr>
        <w:t xml:space="preserve">му надлежит направить материалы для дальнейшего расследования. В таком случае техническая комиссия составляет заключение в произвольной форме, в котором излагает результаты расследования и причины принятия такого решения с приложением собранных материалов.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Решение о направлении материалов подписывается </w:t>
      </w:r>
      <w:r>
        <w:rPr>
          <w:color w:val="000000"/>
        </w:rPr>
        <w:t xml:space="preserve">Мэром</w:t>
      </w:r>
      <w:r>
        <w:rPr>
          <w:color w:val="000000"/>
        </w:rPr>
        <w:t xml:space="preserve"> ЗАТО Северск.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Копия заключения те</w:t>
      </w:r>
      <w:r>
        <w:rPr>
          <w:color w:val="000000"/>
        </w:rPr>
        <w:t xml:space="preserve">хнической комиссии в течение 2</w:t>
      </w:r>
      <w:r>
        <w:rPr>
          <w:color w:val="000000"/>
        </w:rPr>
        <w:t xml:space="preserve"> рабочих дней направляется (вручается) лицу,</w:t>
      </w:r>
      <w:r>
        <w:rPr>
          <w:color w:val="000000"/>
        </w:rPr>
        <w:t xml:space="preserve"> осуществляющему строительство, </w:t>
      </w:r>
      <w:r>
        <w:rPr>
          <w:color w:val="000000"/>
        </w:rPr>
        <w:t xml:space="preserve">рек</w:t>
      </w:r>
      <w:r>
        <w:rPr>
          <w:color w:val="000000"/>
        </w:rPr>
        <w:t xml:space="preserve">онструкцию, капитальный ремонт </w:t>
      </w:r>
      <w:r>
        <w:rPr>
          <w:color w:val="000000"/>
        </w:rPr>
        <w:br/>
      </w:r>
      <w:r>
        <w:rPr>
          <w:color w:val="000000"/>
        </w:rPr>
        <w:t xml:space="preserve">или эксплуатацию объекта, на котором допущено нарушение законодательства </w:t>
      </w:r>
      <w:r>
        <w:rPr>
          <w:color w:val="000000"/>
        </w:rPr>
        <w:br/>
        <w:t xml:space="preserve">о градостроительной деятельности.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Также копия заключения технической комиссии в течение 10 рабочих дней с даты </w:t>
      </w:r>
      <w:r>
        <w:rPr>
          <w:color w:val="000000"/>
        </w:rPr>
        <w:br/>
      </w:r>
      <w:r>
        <w:rPr>
          <w:color w:val="000000"/>
        </w:rPr>
        <w:t xml:space="preserve">его утверждения направляется (вручается):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) физическому и (или) юридическому лицу, которому причинен вред;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</w:t>
      </w:r>
      <w:r>
        <w:rPr>
          <w:color w:val="000000"/>
        </w:rPr>
        <w:t xml:space="preserve">) заинтересованным лицам, которые участвовали в качестве наблюдателей </w:t>
      </w:r>
      <w:r>
        <w:rPr>
          <w:color w:val="000000"/>
        </w:rPr>
        <w:br/>
        <w:t xml:space="preserve">при установлении причин нарушения законодательства о градостроительной деятельности </w:t>
      </w:r>
      <w:r>
        <w:rPr>
          <w:color w:val="000000"/>
        </w:rPr>
        <w:br/>
      </w:r>
      <w:r>
        <w:rPr>
          <w:color w:val="000000"/>
        </w:rPr>
        <w:t xml:space="preserve">и (или) деятельности которых дана оценка в заключении технической комиссии;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</w:t>
      </w:r>
      <w:r>
        <w:rPr>
          <w:color w:val="000000"/>
        </w:rPr>
        <w:t xml:space="preserve">) представителям граждан и их объединений </w:t>
      </w:r>
      <w:r>
        <w:rPr>
          <w:color w:val="000000"/>
        </w:rPr>
        <w:t xml:space="preserve">согласно </w:t>
      </w:r>
      <w:r>
        <w:rPr>
          <w:color w:val="000000"/>
        </w:rPr>
        <w:t xml:space="preserve">их письменным запросам.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Установление причин нарушения законодательства о градостроительной деятельности в отношении эксплуатируемых объектов капитального строительства осуществляется </w:t>
      </w:r>
      <w:r>
        <w:rPr>
          <w:color w:val="000000"/>
        </w:rPr>
        <w:br/>
      </w:r>
      <w:r>
        <w:rPr>
          <w:color w:val="000000"/>
        </w:rPr>
        <w:t xml:space="preserve">в соответствии с федеральными законами и иными нормативными правовыми актами Российской Федерации, регулирующими отношения в сфере обеспечения безопасности эксплуатации указанных объектов.</w:t>
      </w:r>
      <w:r>
        <w:rPr>
          <w:color w:val="000000"/>
        </w:rPr>
      </w:r>
    </w:p>
    <w:p>
      <w:pPr>
        <w:pStyle w:val="873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1134" w:left="1701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0378912</w:t>
    </w:r>
    <w:r>
      <w:rPr>
        <w:rFonts w:ascii="Times New Roman" w:hAnsi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spacing w:before="0" w:beforeAutospacing="0" w:after="0" w:afterAutospacing="0"/>
      <w:tabs>
        <w:tab w:val="left" w:pos="4677" w:leader="none"/>
        <w:tab w:val="left" w:pos="9356" w:leader="none"/>
      </w:tabs>
    </w:pPr>
    <w:r>
      <w:rPr>
        <w:rFonts w:ascii="Times New Roman CYR" w:hAnsi="Times New Roman CYR" w:cs="Times New Roman CYR"/>
        <w:color w:val="000000"/>
        <w:sz w:val="20"/>
        <w:szCs w:val="20"/>
      </w:rPr>
      <w:t xml:space="preserve">Внутренний номер: 0378912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3</w:t>
    </w:r>
    <w:r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98"/>
    <w:link w:val="68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98"/>
    <w:link w:val="690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698"/>
    <w:link w:val="69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98"/>
    <w:link w:val="69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698"/>
    <w:link w:val="69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698"/>
    <w:link w:val="69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698"/>
    <w:link w:val="69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698"/>
    <w:link w:val="69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698"/>
    <w:link w:val="69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character" w:styleId="36">
    <w:name w:val="Title Char"/>
    <w:basedOn w:val="698"/>
    <w:link w:val="711"/>
    <w:uiPriority w:val="10"/>
    <w:rPr>
      <w:sz w:val="48"/>
      <w:szCs w:val="48"/>
    </w:rPr>
  </w:style>
  <w:style w:type="character" w:styleId="38">
    <w:name w:val="Subtitle Char"/>
    <w:basedOn w:val="698"/>
    <w:link w:val="713"/>
    <w:uiPriority w:val="11"/>
    <w:rPr>
      <w:sz w:val="24"/>
      <w:szCs w:val="24"/>
    </w:rPr>
  </w:style>
  <w:style w:type="character" w:styleId="40">
    <w:name w:val="Quote Char"/>
    <w:link w:val="715"/>
    <w:uiPriority w:val="29"/>
    <w:rPr>
      <w:i/>
    </w:rPr>
  </w:style>
  <w:style w:type="character" w:styleId="42">
    <w:name w:val="Intense Quote Char"/>
    <w:link w:val="717"/>
    <w:uiPriority w:val="30"/>
    <w:rPr>
      <w:i/>
    </w:rPr>
  </w:style>
  <w:style w:type="character" w:styleId="48">
    <w:name w:val="Caption Char"/>
    <w:basedOn w:val="698"/>
    <w:link w:val="721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50"/>
    <w:uiPriority w:val="99"/>
    <w:rPr>
      <w:sz w:val="18"/>
    </w:rPr>
  </w:style>
  <w:style w:type="character" w:styleId="180">
    <w:name w:val="Endnote Text Char"/>
    <w:link w:val="853"/>
    <w:uiPriority w:val="99"/>
    <w:rPr>
      <w:sz w:val="20"/>
    </w:rPr>
  </w:style>
  <w:style w:type="paragraph" w:styleId="688" w:default="1">
    <w:name w:val="Normal"/>
    <w:qFormat/>
    <w:pPr>
      <w:spacing w:after="200" w:line="276" w:lineRule="auto"/>
    </w:pPr>
    <w:rPr>
      <w:sz w:val="22"/>
      <w:szCs w:val="22"/>
    </w:rPr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Liberation Sans" w:hAnsi="Liberation Sans" w:eastAsia="Liberation Sans" w:cs="Liberation Sans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0">
    <w:name w:val="List Paragraph"/>
    <w:basedOn w:val="688"/>
    <w:uiPriority w:val="34"/>
    <w:qFormat/>
    <w:pPr>
      <w:contextualSpacing/>
      <w:ind w:left="720"/>
    </w:pPr>
  </w:style>
  <w:style w:type="paragraph" w:styleId="711">
    <w:name w:val="Title"/>
    <w:basedOn w:val="688"/>
    <w:next w:val="688"/>
    <w:link w:val="712"/>
    <w:uiPriority w:val="10"/>
    <w:qFormat/>
    <w:pPr>
      <w:contextualSpacing/>
      <w:spacing w:before="300"/>
    </w:pPr>
    <w:rPr>
      <w:sz w:val="48"/>
      <w:szCs w:val="48"/>
    </w:rPr>
  </w:style>
  <w:style w:type="character" w:styleId="712" w:customStyle="1">
    <w:name w:val="Название Знак"/>
    <w:basedOn w:val="698"/>
    <w:link w:val="711"/>
    <w:uiPriority w:val="10"/>
    <w:rPr>
      <w:sz w:val="48"/>
      <w:szCs w:val="48"/>
    </w:rPr>
  </w:style>
  <w:style w:type="paragraph" w:styleId="713">
    <w:name w:val="Subtitle"/>
    <w:basedOn w:val="688"/>
    <w:next w:val="688"/>
    <w:link w:val="714"/>
    <w:uiPriority w:val="11"/>
    <w:qFormat/>
    <w:pPr>
      <w:spacing w:before="200"/>
    </w:pPr>
    <w:rPr>
      <w:sz w:val="24"/>
      <w:szCs w:val="24"/>
    </w:rPr>
  </w:style>
  <w:style w:type="character" w:styleId="714" w:customStyle="1">
    <w:name w:val="Подзаголовок Знак"/>
    <w:basedOn w:val="698"/>
    <w:link w:val="713"/>
    <w:uiPriority w:val="11"/>
    <w:rPr>
      <w:sz w:val="24"/>
      <w:szCs w:val="24"/>
    </w:rPr>
  </w:style>
  <w:style w:type="paragraph" w:styleId="715">
    <w:name w:val="Quote"/>
    <w:basedOn w:val="688"/>
    <w:next w:val="688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88"/>
    <w:next w:val="688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character" w:styleId="719" w:customStyle="1">
    <w:name w:val="Header Char"/>
    <w:basedOn w:val="698"/>
    <w:uiPriority w:val="99"/>
  </w:style>
  <w:style w:type="character" w:styleId="720" w:customStyle="1">
    <w:name w:val="Footer Char"/>
    <w:basedOn w:val="698"/>
    <w:uiPriority w:val="99"/>
  </w:style>
  <w:style w:type="paragraph" w:styleId="721">
    <w:name w:val="Caption"/>
    <w:basedOn w:val="688"/>
    <w:next w:val="688"/>
    <w:link w:val="72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22" w:customStyle="1">
    <w:name w:val="Название объекта Знак"/>
    <w:basedOn w:val="698"/>
    <w:link w:val="721"/>
    <w:uiPriority w:val="35"/>
    <w:rPr>
      <w:b/>
      <w:bCs/>
      <w:color w:val="5b9bd5" w:themeColor="accent1"/>
      <w:sz w:val="18"/>
      <w:szCs w:val="18"/>
    </w:rPr>
  </w:style>
  <w:style w:type="table" w:styleId="723">
    <w:name w:val="Table Grid"/>
    <w:basedOn w:val="69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4" w:customStyle="1">
    <w:name w:val="Table Grid Light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6">
    <w:name w:val="Plain Table 2"/>
    <w:basedOn w:val="69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7">
    <w:name w:val="Plain Table 3"/>
    <w:basedOn w:val="69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69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69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69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9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9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9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9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9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9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69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9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53" w:customStyle="1">
    <w:name w:val="Grid Table 4 - Accent 2"/>
    <w:basedOn w:val="699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4" w:customStyle="1">
    <w:name w:val="Grid Table 4 - Accent 3"/>
    <w:basedOn w:val="699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5" w:customStyle="1">
    <w:name w:val="Grid Table 4 - Accent 4"/>
    <w:basedOn w:val="699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6" w:customStyle="1">
    <w:name w:val="Grid Table 4 - Accent 5"/>
    <w:basedOn w:val="699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57" w:customStyle="1">
    <w:name w:val="Grid Table 4 - Accent 6"/>
    <w:basedOn w:val="699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8">
    <w:name w:val="Grid Table 5 Dark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9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67" w:customStyle="1">
    <w:name w:val="Grid Table 6 Colorful - Accent 2"/>
    <w:basedOn w:val="69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8" w:customStyle="1">
    <w:name w:val="Grid Table 6 Colorful - Accent 3"/>
    <w:basedOn w:val="699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9" w:customStyle="1">
    <w:name w:val="Grid Table 6 Colorful - Accent 4"/>
    <w:basedOn w:val="69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0" w:customStyle="1">
    <w:name w:val="Grid Table 6 Colorful - Accent 5"/>
    <w:basedOn w:val="699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1" w:customStyle="1">
    <w:name w:val="Grid Table 6 Colorful - Accent 6"/>
    <w:basedOn w:val="699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2">
    <w:name w:val="Grid Table 7 Colorful"/>
    <w:basedOn w:val="69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99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99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99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99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99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99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>
    <w:name w:val="List Table 1 Light"/>
    <w:basedOn w:val="69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9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9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9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9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9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9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69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9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9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9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9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9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9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9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9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9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9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9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9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9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9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9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9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69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9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9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9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9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9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9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4">
    <w:name w:val="List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9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16" w:customStyle="1">
    <w:name w:val="List Table 6 Colorful - Accent 2"/>
    <w:basedOn w:val="699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7" w:customStyle="1">
    <w:name w:val="List Table 6 Colorful - Accent 3"/>
    <w:basedOn w:val="699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8" w:customStyle="1">
    <w:name w:val="List Table 6 Colorful - Accent 4"/>
    <w:basedOn w:val="699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9" w:customStyle="1">
    <w:name w:val="List Table 6 Colorful - Accent 5"/>
    <w:basedOn w:val="699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20" w:customStyle="1">
    <w:name w:val="List Table 6 Colorful - Accent 6"/>
    <w:basedOn w:val="699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1">
    <w:name w:val="List Table 7 Colorful"/>
    <w:basedOn w:val="69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99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99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99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99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99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99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0" w:customStyle="1">
    <w:name w:val="Lined - Accent 2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1" w:customStyle="1">
    <w:name w:val="Lined - Accent 3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2" w:customStyle="1">
    <w:name w:val="Lined - Accent 4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3" w:customStyle="1">
    <w:name w:val="Lined - Accent 5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4" w:customStyle="1">
    <w:name w:val="Lined - Accent 6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5" w:customStyle="1">
    <w:name w:val="Bordered &amp; Lined - Accent"/>
    <w:basedOn w:val="69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9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7" w:customStyle="1">
    <w:name w:val="Bordered &amp; Lined - Accent 2"/>
    <w:basedOn w:val="699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8" w:customStyle="1">
    <w:name w:val="Bordered &amp; Lined - Accent 3"/>
    <w:basedOn w:val="699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9" w:customStyle="1">
    <w:name w:val="Bordered &amp; Lined - Accent 4"/>
    <w:basedOn w:val="699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0" w:customStyle="1">
    <w:name w:val="Bordered &amp; Lined - Accent 5"/>
    <w:basedOn w:val="699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1" w:customStyle="1">
    <w:name w:val="Bordered &amp; Lined - Accent 6"/>
    <w:basedOn w:val="699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2" w:customStyle="1">
    <w:name w:val="Bordered"/>
    <w:basedOn w:val="69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9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44" w:customStyle="1">
    <w:name w:val="Bordered - Accent 2"/>
    <w:basedOn w:val="69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5" w:customStyle="1">
    <w:name w:val="Bordered - Accent 3"/>
    <w:basedOn w:val="69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6" w:customStyle="1">
    <w:name w:val="Bordered - Accent 4"/>
    <w:basedOn w:val="69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7" w:customStyle="1">
    <w:name w:val="Bordered - Accent 5"/>
    <w:basedOn w:val="699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48" w:customStyle="1">
    <w:name w:val="Bordered - Accent 6"/>
    <w:basedOn w:val="69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9">
    <w:name w:val="Hyperlink"/>
    <w:uiPriority w:val="99"/>
    <w:unhideWhenUsed/>
    <w:rPr>
      <w:color w:val="0563c1" w:themeColor="hyperlink"/>
      <w:u w:val="single"/>
    </w:rPr>
  </w:style>
  <w:style w:type="paragraph" w:styleId="850">
    <w:name w:val="footnote text"/>
    <w:basedOn w:val="688"/>
    <w:link w:val="851"/>
    <w:uiPriority w:val="99"/>
    <w:semiHidden/>
    <w:unhideWhenUsed/>
    <w:pPr>
      <w:spacing w:after="40" w:line="240" w:lineRule="auto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basedOn w:val="698"/>
    <w:uiPriority w:val="99"/>
    <w:unhideWhenUsed/>
    <w:rPr>
      <w:vertAlign w:val="superscript"/>
    </w:rPr>
  </w:style>
  <w:style w:type="paragraph" w:styleId="853">
    <w:name w:val="endnote text"/>
    <w:basedOn w:val="688"/>
    <w:link w:val="854"/>
    <w:uiPriority w:val="99"/>
    <w:semiHidden/>
    <w:unhideWhenUsed/>
    <w:pPr>
      <w:spacing w:after="0" w:line="240" w:lineRule="auto"/>
    </w:pPr>
    <w:rPr>
      <w:sz w:val="20"/>
    </w:rPr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698"/>
    <w:uiPriority w:val="99"/>
    <w:semiHidden/>
    <w:unhideWhenUsed/>
    <w:rPr>
      <w:vertAlign w:val="superscript"/>
    </w:rPr>
  </w:style>
  <w:style w:type="paragraph" w:styleId="856">
    <w:name w:val="toc 1"/>
    <w:basedOn w:val="688"/>
    <w:next w:val="688"/>
    <w:uiPriority w:val="39"/>
    <w:unhideWhenUsed/>
    <w:pPr>
      <w:spacing w:after="57"/>
    </w:pPr>
  </w:style>
  <w:style w:type="paragraph" w:styleId="857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8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9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60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61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2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3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4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88"/>
    <w:next w:val="688"/>
    <w:uiPriority w:val="99"/>
    <w:unhideWhenUsed/>
    <w:pPr>
      <w:spacing w:after="0"/>
    </w:pPr>
  </w:style>
  <w:style w:type="paragraph" w:styleId="867" w:customStyle="1">
    <w:name w:val="bodytext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868" w:customStyle="1">
    <w:name w:val="consplustitle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869" w:customStyle="1">
    <w:name w:val="20"/>
    <w:basedOn w:val="698"/>
  </w:style>
  <w:style w:type="paragraph" w:styleId="870" w:customStyle="1">
    <w:name w:val="Без интервала1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871" w:customStyle="1">
    <w:name w:val="Гиперссылка1"/>
    <w:basedOn w:val="698"/>
  </w:style>
  <w:style w:type="paragraph" w:styleId="872" w:customStyle="1">
    <w:name w:val="normalweb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873" w:customStyle="1">
    <w:name w:val="Обычный (Интернет)"/>
    <w:basedOn w:val="688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874" w:customStyle="1">
    <w:name w:val="consplusnormal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875">
    <w:name w:val="Header"/>
    <w:basedOn w:val="688"/>
    <w:link w:val="87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6" w:customStyle="1">
    <w:name w:val="Верхний колонтитул Знак"/>
    <w:link w:val="875"/>
    <w:uiPriority w:val="99"/>
    <w:rPr>
      <w:sz w:val="22"/>
      <w:szCs w:val="22"/>
    </w:rPr>
  </w:style>
  <w:style w:type="paragraph" w:styleId="877">
    <w:name w:val="Footer"/>
    <w:basedOn w:val="688"/>
    <w:link w:val="878"/>
    <w:unhideWhenUsed/>
    <w:pPr>
      <w:tabs>
        <w:tab w:val="center" w:pos="4677" w:leader="none"/>
        <w:tab w:val="right" w:pos="9355" w:leader="none"/>
      </w:tabs>
    </w:pPr>
  </w:style>
  <w:style w:type="character" w:styleId="878" w:customStyle="1">
    <w:name w:val="Нижний колонтитул Знак"/>
    <w:link w:val="877"/>
    <w:rPr>
      <w:sz w:val="22"/>
      <w:szCs w:val="22"/>
    </w:rPr>
  </w:style>
  <w:style w:type="paragraph" w:styleId="879">
    <w:name w:val="Balloon Text"/>
    <w:basedOn w:val="688"/>
    <w:link w:val="88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0" w:customStyle="1">
    <w:name w:val="Текст выноски Знак"/>
    <w:link w:val="879"/>
    <w:uiPriority w:val="99"/>
    <w:semiHidden/>
    <w:rPr>
      <w:rFonts w:ascii="Segoe UI" w:hAnsi="Segoe UI" w:cs="Segoe UI"/>
      <w:sz w:val="18"/>
      <w:szCs w:val="18"/>
    </w:rPr>
  </w:style>
  <w:style w:type="paragraph" w:styleId="881" w:customStyle="1">
    <w:name w:val="docdata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</dc:creator>
  <cp:keywords/>
  <dc:description/>
  <cp:lastModifiedBy>Trofimova</cp:lastModifiedBy>
  <cp:revision>38</cp:revision>
  <dcterms:created xsi:type="dcterms:W3CDTF">2026-01-16T05:04:00Z</dcterms:created>
  <dcterms:modified xsi:type="dcterms:W3CDTF">2026-07-27T07:26:41Z</dcterms:modified>
</cp:coreProperties>
</file>