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5670"/>
        <w:jc w:val="both"/>
        <w:spacing w:after="0" w:line="240" w:lineRule="auto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 xml:space="preserve">УТВЕРЖДЕН</w:t>
      </w:r>
      <w:r>
        <w:rPr>
          <w:rFonts w:ascii="Times New Roman" w:hAnsi="Times New Roman" w:eastAsia="Calibri"/>
          <w:sz w:val="24"/>
          <w:szCs w:val="24"/>
        </w:rPr>
      </w:r>
    </w:p>
    <w:p>
      <w:pPr>
        <w:ind w:left="5670"/>
        <w:jc w:val="both"/>
        <w:spacing w:after="0" w:line="240" w:lineRule="auto"/>
        <w:rPr>
          <w:rFonts w:ascii="Times New Roman" w:hAnsi="Times New Roman" w:eastAsia="Calibri"/>
          <w:sz w:val="12"/>
          <w:szCs w:val="12"/>
        </w:rPr>
      </w:pPr>
      <w:r>
        <w:rPr>
          <w:rFonts w:ascii="Times New Roman" w:hAnsi="Times New Roman" w:eastAsia="Calibri"/>
          <w:sz w:val="12"/>
          <w:szCs w:val="12"/>
        </w:rPr>
      </w:r>
      <w:r>
        <w:rPr>
          <w:rFonts w:ascii="Times New Roman" w:hAnsi="Times New Roman" w:eastAsia="Calibri"/>
          <w:sz w:val="12"/>
          <w:szCs w:val="12"/>
        </w:rPr>
      </w:r>
    </w:p>
    <w:p>
      <w:pPr>
        <w:ind w:left="5670"/>
        <w:jc w:val="both"/>
        <w:spacing w:after="0" w:line="240" w:lineRule="auto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 xml:space="preserve">постановлением</w:t>
      </w:r>
      <w:r>
        <w:rPr>
          <w:rFonts w:ascii="Times New Roman" w:hAnsi="Times New Roman" w:eastAsia="Calibri"/>
          <w:sz w:val="24"/>
          <w:szCs w:val="24"/>
        </w:rPr>
      </w:r>
    </w:p>
    <w:p>
      <w:pPr>
        <w:ind w:left="5670"/>
        <w:jc w:val="both"/>
        <w:spacing w:after="0" w:line="240" w:lineRule="auto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 xml:space="preserve">Администрации</w:t>
      </w:r>
      <w:r>
        <w:rPr>
          <w:rFonts w:ascii="Times New Roman" w:hAnsi="Times New Roman" w:eastAsia="Calibri"/>
          <w:sz w:val="24"/>
          <w:szCs w:val="24"/>
        </w:rPr>
        <w:t xml:space="preserve"> ЗАТО Северск</w:t>
      </w:r>
      <w:r>
        <w:rPr>
          <w:rFonts w:ascii="Times New Roman" w:hAnsi="Times New Roman" w:eastAsia="Calibri"/>
          <w:sz w:val="24"/>
          <w:szCs w:val="24"/>
        </w:rPr>
      </w:r>
    </w:p>
    <w:p>
      <w:pPr>
        <w:ind w:left="5670"/>
        <w:jc w:val="both"/>
        <w:spacing w:after="0" w:line="240" w:lineRule="auto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 xml:space="preserve">от __27.07.2026__№ __1514-па__</w:t>
      </w:r>
      <w:r>
        <w:rPr>
          <w:rFonts w:ascii="Times New Roman" w:hAnsi="Times New Roman" w:eastAsia="Calibri"/>
          <w:sz w:val="24"/>
          <w:szCs w:val="24"/>
        </w:rPr>
      </w:r>
    </w:p>
    <w:p>
      <w:pPr>
        <w:pStyle w:val="889"/>
        <w:spacing w:before="0" w:beforeAutospacing="0" w:after="0" w:afterAutospacing="0" w:line="252" w:lineRule="auto"/>
        <w:rPr>
          <w:bCs/>
          <w:color w:val="000000"/>
        </w:rPr>
      </w:pPr>
      <w:r>
        <w:rPr>
          <w:bCs/>
          <w:color w:val="000000"/>
        </w:rPr>
      </w:r>
      <w:r>
        <w:rPr>
          <w:bCs/>
          <w:color w:val="000000"/>
        </w:rPr>
      </w:r>
    </w:p>
    <w:p>
      <w:pPr>
        <w:pStyle w:val="889"/>
        <w:ind w:firstLine="709"/>
        <w:jc w:val="center"/>
        <w:spacing w:before="0" w:beforeAutospacing="0" w:after="0" w:afterAutospacing="0" w:line="252" w:lineRule="auto"/>
        <w:rPr>
          <w:bCs/>
          <w:color w:val="000000"/>
        </w:rPr>
      </w:pPr>
      <w:r>
        <w:rPr>
          <w:bCs/>
          <w:color w:val="000000"/>
        </w:rPr>
      </w:r>
      <w:r>
        <w:rPr>
          <w:bCs/>
          <w:color w:val="000000"/>
        </w:rPr>
      </w:r>
    </w:p>
    <w:p>
      <w:pPr>
        <w:pStyle w:val="889"/>
        <w:jc w:val="center"/>
        <w:spacing w:before="0" w:beforeAutospacing="0" w:after="0" w:afterAutospacing="0" w:line="252" w:lineRule="auto"/>
        <w:rPr>
          <w:color w:val="000000"/>
        </w:rPr>
      </w:pPr>
      <w:r>
        <w:rPr>
          <w:bCs/>
          <w:color w:val="000000"/>
        </w:rPr>
        <w:t xml:space="preserve">ПОРЯДОК</w:t>
      </w:r>
      <w:r>
        <w:rPr>
          <w:color w:val="000000"/>
        </w:rPr>
      </w:r>
    </w:p>
    <w:p>
      <w:pPr>
        <w:pStyle w:val="889"/>
        <w:jc w:val="center"/>
        <w:spacing w:before="0" w:beforeAutospacing="0" w:after="0" w:afterAutospacing="0" w:line="252" w:lineRule="auto"/>
        <w:rPr>
          <w:color w:val="000000"/>
        </w:rPr>
      </w:pPr>
      <w:r>
        <w:rPr>
          <w:bCs/>
          <w:color w:val="000000"/>
        </w:rPr>
        <w:t xml:space="preserve">установления причин нарушения законодательства о градостроительной деятельности на территории </w:t>
      </w:r>
      <w:r>
        <w:t xml:space="preserve">городского </w:t>
      </w:r>
      <w:r>
        <w:t xml:space="preserve">округа</w:t>
      </w:r>
      <w:r>
        <w:t xml:space="preserve"> ЗАТО Северск Томской области</w:t>
      </w:r>
      <w:r>
        <w:rPr>
          <w:color w:val="000000"/>
        </w:rPr>
      </w:r>
    </w:p>
    <w:p>
      <w:pPr>
        <w:pStyle w:val="888"/>
        <w:ind w:firstLine="709"/>
        <w:jc w:val="right"/>
        <w:spacing w:before="0" w:beforeAutospacing="0" w:after="0" w:afterAutospacing="0" w:line="252" w:lineRule="auto"/>
        <w:rPr>
          <w:color w:val="000000"/>
        </w:rPr>
      </w:pPr>
      <w:r>
        <w:rPr>
          <w:bCs/>
          <w:color w:val="000000"/>
        </w:rPr>
        <w:t xml:space="preserve"> </w:t>
      </w:r>
      <w:r>
        <w:rPr>
          <w:color w:val="000000"/>
        </w:rPr>
      </w:r>
    </w:p>
    <w:p>
      <w:pPr>
        <w:pStyle w:val="889"/>
        <w:jc w:val="center"/>
        <w:spacing w:before="0" w:beforeAutospacing="0" w:after="0" w:afterAutospacing="0" w:line="252" w:lineRule="auto"/>
        <w:rPr>
          <w:color w:val="000000"/>
        </w:rPr>
      </w:pPr>
      <w:r>
        <w:rPr>
          <w:bCs/>
          <w:color w:val="000000"/>
        </w:rPr>
        <w:t xml:space="preserve">I. ОБЩИЕ ПОЛОЖЕНИЯ</w:t>
      </w:r>
      <w:r>
        <w:rPr>
          <w:color w:val="000000"/>
        </w:rPr>
      </w:r>
    </w:p>
    <w:p>
      <w:pPr>
        <w:pStyle w:val="889"/>
        <w:ind w:firstLine="709"/>
        <w:jc w:val="center"/>
        <w:spacing w:before="0" w:beforeAutospacing="0" w:after="0" w:afterAutospacing="0" w:line="252" w:lineRule="auto"/>
        <w:rPr>
          <w:color w:val="000000"/>
        </w:rPr>
      </w:pPr>
      <w:r>
        <w:rPr>
          <w:bCs/>
          <w:color w:val="000000"/>
        </w:rPr>
        <w:t xml:space="preserve"> </w:t>
      </w:r>
      <w:r>
        <w:rPr>
          <w:color w:val="000000"/>
        </w:rPr>
      </w:r>
    </w:p>
    <w:p>
      <w:pPr>
        <w:ind w:firstLine="709"/>
        <w:jc w:val="both"/>
        <w:spacing w:after="0" w:line="252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 Порядок установления причин нарушения законодательства </w:t>
      </w:r>
      <w:r>
        <w:rPr>
          <w:rFonts w:ascii="Times New Roman" w:hAnsi="Times New Roman"/>
          <w:sz w:val="24"/>
          <w:szCs w:val="24"/>
        </w:rPr>
        <w:t xml:space="preserve">о </w:t>
      </w:r>
      <w:r>
        <w:rPr>
          <w:rFonts w:ascii="Times New Roman" w:hAnsi="Times New Roman"/>
          <w:sz w:val="24"/>
          <w:szCs w:val="24"/>
        </w:rPr>
        <w:t xml:space="preserve">градостроительной деятельности на территории городского округа ЗАТО Северск Томской области </w:t>
      </w:r>
      <w:r>
        <w:rPr>
          <w:rFonts w:ascii="Times New Roman" w:hAnsi="Times New Roman"/>
          <w:sz w:val="24"/>
          <w:szCs w:val="24"/>
        </w:rPr>
        <w:br/>
        <w:t xml:space="preserve">(далее – Порядок) разработан на основании Градостроительного кодекса Российской Федерации от 29.12.2004 № 190-ФЗ (далее – Градостроительный кодекс) </w:t>
      </w:r>
      <w:r>
        <w:rPr>
          <w:rFonts w:ascii="Times New Roman" w:hAnsi="Times New Roman"/>
          <w:sz w:val="24"/>
          <w:szCs w:val="24"/>
        </w:rPr>
        <w:br/>
        <w:t xml:space="preserve">и определяет процедуру установления причин нарушения законодательства </w:t>
      </w:r>
      <w:r>
        <w:rPr>
          <w:rFonts w:ascii="Times New Roman" w:hAnsi="Times New Roman"/>
          <w:sz w:val="24"/>
          <w:szCs w:val="24"/>
        </w:rPr>
        <w:br/>
        <w:t xml:space="preserve">о градостроительной деятельности на территории городского округа ЗАТО Северск Томской области, порядок образования и деятельности технической комиссии </w:t>
      </w:r>
      <w:r>
        <w:rPr>
          <w:rFonts w:ascii="Times New Roman" w:hAnsi="Times New Roman"/>
          <w:sz w:val="24"/>
          <w:szCs w:val="24"/>
        </w:rPr>
        <w:t xml:space="preserve">по установлению причин нарушения законодательства о градостроительной деятельности на территории городского округа ЗАТО Северск Томской области (далее – техническая комиссия) </w:t>
      </w:r>
      <w:r>
        <w:rPr>
          <w:rFonts w:ascii="Times New Roman" w:hAnsi="Times New Roman"/>
          <w:sz w:val="24"/>
          <w:szCs w:val="24"/>
        </w:rPr>
        <w:t xml:space="preserve">и распространяется </w:t>
      </w:r>
      <w:r>
        <w:rPr>
          <w:rFonts w:ascii="Times New Roman" w:hAnsi="Times New Roman"/>
          <w:sz w:val="24"/>
          <w:szCs w:val="24"/>
        </w:rPr>
        <w:br/>
      </w:r>
      <w:bookmarkStart w:id="0" w:name="_GoBack"/>
      <w:r/>
      <w:bookmarkEnd w:id="0"/>
      <w:r>
        <w:rPr>
          <w:rFonts w:ascii="Times New Roman" w:hAnsi="Times New Roman"/>
          <w:sz w:val="24"/>
          <w:szCs w:val="24"/>
        </w:rPr>
        <w:t xml:space="preserve">на случаи, предусмотренные частью 4 статьи 62 Градостроительного кодекса.</w:t>
      </w:r>
      <w:r>
        <w:rPr>
          <w:rFonts w:ascii="Times New Roman" w:hAnsi="Times New Roman"/>
          <w:sz w:val="24"/>
          <w:szCs w:val="24"/>
        </w:rPr>
      </w:r>
    </w:p>
    <w:p>
      <w:pPr>
        <w:pStyle w:val="889"/>
        <w:ind w:firstLine="709"/>
        <w:jc w:val="both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  <w:t xml:space="preserve">2. Установление причин нарушения законодательства о градостроительной деятельности осуществляется в целях:</w:t>
      </w:r>
      <w:r>
        <w:rPr>
          <w:color w:val="000000"/>
        </w:rPr>
      </w:r>
    </w:p>
    <w:p>
      <w:pPr>
        <w:pStyle w:val="889"/>
        <w:ind w:firstLine="709"/>
        <w:jc w:val="both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  <w:t xml:space="preserve">1</w:t>
      </w:r>
      <w:r>
        <w:rPr>
          <w:color w:val="000000"/>
        </w:rPr>
        <w:t xml:space="preserve">) устранения нарушения</w:t>
      </w:r>
      <w:r>
        <w:rPr>
          <w:color w:val="000000"/>
        </w:rPr>
        <w:t xml:space="preserve"> законодательства о градостроительной деятельности;</w:t>
      </w:r>
      <w:r>
        <w:rPr>
          <w:color w:val="000000"/>
        </w:rPr>
      </w:r>
    </w:p>
    <w:p>
      <w:pPr>
        <w:pStyle w:val="889"/>
        <w:ind w:firstLine="709"/>
        <w:jc w:val="both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  <w:t xml:space="preserve">2</w:t>
      </w:r>
      <w:r>
        <w:rPr>
          <w:color w:val="000000"/>
        </w:rPr>
        <w:t xml:space="preserve">) определения лиц, которым причинен вред в результате нарушения законодательства о градостроительной деятельности; опреде</w:t>
      </w:r>
      <w:r>
        <w:rPr>
          <w:color w:val="000000"/>
        </w:rPr>
        <w:t xml:space="preserve">ления лиц, допустивших нарушение</w:t>
      </w:r>
      <w:r>
        <w:rPr>
          <w:color w:val="000000"/>
        </w:rPr>
        <w:t xml:space="preserve"> законодательства градостроительной деятельности, и обстоятельств, указывающих </w:t>
      </w:r>
      <w:r>
        <w:rPr>
          <w:color w:val="000000"/>
        </w:rPr>
        <w:br/>
      </w:r>
      <w:r>
        <w:rPr>
          <w:color w:val="000000"/>
        </w:rPr>
        <w:t xml:space="preserve">на их виновность;</w:t>
      </w:r>
      <w:r>
        <w:rPr>
          <w:color w:val="000000"/>
        </w:rPr>
      </w:r>
    </w:p>
    <w:p>
      <w:pPr>
        <w:pStyle w:val="889"/>
        <w:ind w:firstLine="709"/>
        <w:jc w:val="both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  <w:t xml:space="preserve">3</w:t>
      </w:r>
      <w:r>
        <w:rPr>
          <w:color w:val="000000"/>
        </w:rPr>
        <w:t xml:space="preserve">) определения мероприятий по восстановлению благоприятных условий </w:t>
      </w:r>
      <w:r>
        <w:rPr>
          <w:color w:val="000000"/>
        </w:rPr>
        <w:br/>
        <w:t xml:space="preserve">для жизнедеятельности граждан;</w:t>
      </w:r>
      <w:r>
        <w:rPr>
          <w:color w:val="000000"/>
        </w:rPr>
      </w:r>
    </w:p>
    <w:p>
      <w:pPr>
        <w:pStyle w:val="889"/>
        <w:ind w:firstLine="709"/>
        <w:jc w:val="both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  <w:t xml:space="preserve">4</w:t>
      </w:r>
      <w:r>
        <w:rPr>
          <w:color w:val="000000"/>
        </w:rPr>
        <w:t xml:space="preserve">) анализа установленных причин нарушения законодательства </w:t>
      </w:r>
      <w:r>
        <w:rPr>
          <w:color w:val="000000"/>
        </w:rPr>
        <w:t xml:space="preserve">о </w:t>
      </w:r>
      <w:r>
        <w:rPr>
          <w:color w:val="000000"/>
        </w:rPr>
        <w:t xml:space="preserve">градостроительной деятельности в целях разработки предложений для принятия мер по предупреждению подобных нарушений и совершенствованию действующих нормативных правовых актов.</w:t>
      </w:r>
      <w:r>
        <w:rPr>
          <w:color w:val="000000"/>
        </w:rPr>
      </w:r>
    </w:p>
    <w:p>
      <w:pPr>
        <w:pStyle w:val="889"/>
        <w:ind w:firstLine="709"/>
        <w:jc w:val="both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  <w:t xml:space="preserve">3. Установление причин нарушения законодательства о градостроительной деятельности проводится независимо от источников финансирования строящихся </w:t>
      </w:r>
      <w:r>
        <w:rPr>
          <w:color w:val="000000"/>
        </w:rPr>
        <w:br/>
        <w:t xml:space="preserve">или построенных объектов, форм собственности и ведомственной принадлежности объектов и участников строительства.</w:t>
      </w:r>
      <w:r>
        <w:rPr>
          <w:color w:val="000000"/>
        </w:rPr>
      </w:r>
    </w:p>
    <w:p>
      <w:pPr>
        <w:pStyle w:val="889"/>
        <w:ind w:firstLine="709"/>
        <w:jc w:val="both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pStyle w:val="889"/>
        <w:ind w:firstLine="709"/>
        <w:jc w:val="center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  <w:t xml:space="preserve">II. П</w:t>
      </w:r>
      <w:r>
        <w:rPr>
          <w:color w:val="000000"/>
        </w:rPr>
        <w:t xml:space="preserve">РОЦЕДУРА</w:t>
      </w:r>
      <w:r>
        <w:rPr>
          <w:color w:val="000000"/>
        </w:rPr>
        <w:t xml:space="preserve"> УСТАНОВЛЕНИЯ ПРИЧИН НАРУШЕНИЯ ЗАКОНОДАТЕЛЬСТВА О ГРАДОСТРОИТЕЛЬНОЙ ДЕЯТЕЛЬНОСТИ</w:t>
      </w:r>
      <w:r>
        <w:rPr>
          <w:color w:val="000000"/>
        </w:rPr>
      </w:r>
    </w:p>
    <w:p>
      <w:pPr>
        <w:pStyle w:val="889"/>
        <w:ind w:firstLine="709"/>
        <w:jc w:val="center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pStyle w:val="889"/>
        <w:ind w:firstLine="709"/>
        <w:jc w:val="both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  <w:t xml:space="preserve">4. Причины нарушения законодательства о градостроительной деятельности, </w:t>
      </w:r>
      <w:r>
        <w:rPr>
          <w:color w:val="000000"/>
        </w:rPr>
        <w:br/>
        <w:t xml:space="preserve">а также определение лиц, допустивших такое нарушение законодательства </w:t>
      </w:r>
      <w:r>
        <w:rPr>
          <w:color w:val="000000"/>
        </w:rPr>
        <w:br/>
        <w:t xml:space="preserve">о градостроительной деятельности на территории городского </w:t>
      </w:r>
      <w:r>
        <w:rPr>
          <w:color w:val="000000"/>
        </w:rPr>
        <w:t xml:space="preserve">округа</w:t>
      </w:r>
      <w:r>
        <w:rPr>
          <w:color w:val="000000"/>
        </w:rPr>
        <w:t xml:space="preserve"> ЗАТО Северск Томской области</w:t>
      </w:r>
      <w:r>
        <w:rPr>
          <w:color w:val="000000"/>
        </w:rPr>
        <w:t xml:space="preserve">,</w:t>
      </w:r>
      <w:r>
        <w:rPr>
          <w:color w:val="000000"/>
        </w:rPr>
        <w:t xml:space="preserve"> устанавливаются технической комиссией, созданной </w:t>
      </w:r>
      <w:r>
        <w:rPr>
          <w:color w:val="000000"/>
        </w:rPr>
        <w:t xml:space="preserve">распоряжением </w:t>
      </w:r>
      <w:r>
        <w:rPr>
          <w:color w:val="000000"/>
        </w:rPr>
        <w:t xml:space="preserve">Администрации</w:t>
      </w:r>
      <w:r>
        <w:rPr>
          <w:color w:val="000000"/>
        </w:rPr>
        <w:t xml:space="preserve"> </w:t>
      </w:r>
      <w:r>
        <w:t xml:space="preserve">ЗАТО Северск.</w:t>
      </w:r>
      <w:r>
        <w:rPr>
          <w:color w:val="000000"/>
        </w:rPr>
      </w:r>
    </w:p>
    <w:p>
      <w:pPr>
        <w:pStyle w:val="889"/>
        <w:ind w:firstLine="709"/>
        <w:jc w:val="both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  <w:t xml:space="preserve">5. Основанием для рассмотрения </w:t>
      </w:r>
      <w:r>
        <w:rPr>
          <w:color w:val="000000"/>
        </w:rPr>
        <w:t xml:space="preserve">Администрацией</w:t>
      </w:r>
      <w:r>
        <w:rPr>
          <w:color w:val="000000"/>
        </w:rPr>
        <w:t xml:space="preserve"> </w:t>
      </w:r>
      <w:r>
        <w:t xml:space="preserve">ЗАТО Северск </w:t>
      </w:r>
      <w:r>
        <w:rPr>
          <w:color w:val="000000"/>
        </w:rPr>
        <w:t xml:space="preserve">вопроса </w:t>
      </w:r>
      <w:r>
        <w:rPr>
          <w:color w:val="000000"/>
        </w:rPr>
        <w:br/>
        <w:t xml:space="preserve">об образовании </w:t>
      </w:r>
      <w:r>
        <w:rPr>
          <w:color w:val="000000"/>
        </w:rPr>
        <w:t xml:space="preserve">технической </w:t>
      </w:r>
      <w:r>
        <w:rPr>
          <w:color w:val="000000"/>
        </w:rPr>
        <w:t xml:space="preserve">комиссии являются полученные Администрацией </w:t>
      </w:r>
      <w:r>
        <w:t xml:space="preserve">ЗАТО Северск</w:t>
      </w:r>
      <w:r>
        <w:rPr>
          <w:color w:val="000000"/>
        </w:rPr>
        <w:t xml:space="preserve">:</w:t>
      </w:r>
      <w:r>
        <w:rPr>
          <w:color w:val="000000"/>
        </w:rPr>
      </w:r>
    </w:p>
    <w:p>
      <w:pPr>
        <w:pStyle w:val="889"/>
        <w:ind w:firstLine="709"/>
        <w:jc w:val="both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  <w:t xml:space="preserve">1</w:t>
      </w:r>
      <w:r>
        <w:rPr>
          <w:color w:val="000000"/>
        </w:rPr>
        <w:t xml:space="preserve">) заявление от физического и (или) юридического лица либо их представителей </w:t>
      </w:r>
      <w:r>
        <w:rPr>
          <w:color w:val="000000"/>
        </w:rPr>
        <w:br/>
        <w:t xml:space="preserve">о причинении вреда, поданное в </w:t>
      </w:r>
      <w:r>
        <w:rPr>
          <w:color w:val="000000"/>
        </w:rPr>
        <w:t xml:space="preserve">Администрацию</w:t>
      </w:r>
      <w:r>
        <w:rPr>
          <w:color w:val="000000"/>
        </w:rPr>
        <w:t xml:space="preserve"> </w:t>
      </w:r>
      <w:r>
        <w:t xml:space="preserve">ЗАТО Северск</w:t>
      </w:r>
      <w:r>
        <w:rPr>
          <w:color w:val="000000"/>
        </w:rPr>
        <w:t xml:space="preserve">, содержащее информацию </w:t>
      </w:r>
      <w:r>
        <w:rPr>
          <w:color w:val="000000"/>
        </w:rPr>
        <w:br/>
      </w:r>
      <w:r>
        <w:rPr>
          <w:color w:val="000000"/>
        </w:rPr>
        <w:t xml:space="preserve">о месте, времени, обстоятельствах, при которых произошло нанесение вреда (ущерба);</w:t>
      </w:r>
      <w:r>
        <w:rPr>
          <w:color w:val="000000"/>
        </w:rPr>
      </w:r>
    </w:p>
    <w:p>
      <w:pPr>
        <w:pStyle w:val="889"/>
        <w:ind w:firstLine="709"/>
        <w:jc w:val="both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  <w:t xml:space="preserve">2</w:t>
      </w:r>
      <w:r>
        <w:rPr>
          <w:color w:val="000000"/>
        </w:rPr>
        <w:t xml:space="preserve">) извещение лица, осуществляющего строительство, о возникновении аварийной ситуации при строительстве, реконструкции, капитальном ремонте объекта капитального строительства, повлекшей за собой причинение вреда;</w:t>
      </w:r>
      <w:r>
        <w:rPr>
          <w:color w:val="000000"/>
        </w:rPr>
      </w:r>
    </w:p>
    <w:p>
      <w:pPr>
        <w:pStyle w:val="889"/>
        <w:ind w:firstLine="709"/>
        <w:jc w:val="both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  <w:t xml:space="preserve">3</w:t>
      </w:r>
      <w:r>
        <w:rPr>
          <w:color w:val="000000"/>
        </w:rPr>
        <w:t xml:space="preserve">) документы государственных органов и (или) органов местного самоуправления, содержащие сведения о нарушении законодательства о градостроительной деятельности, повлекшем за собой причинение вреда;</w:t>
      </w:r>
      <w:r>
        <w:rPr>
          <w:color w:val="000000"/>
        </w:rPr>
      </w:r>
    </w:p>
    <w:p>
      <w:pPr>
        <w:pStyle w:val="889"/>
        <w:ind w:firstLine="709"/>
        <w:jc w:val="both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  <w:t xml:space="preserve">4</w:t>
      </w:r>
      <w:r>
        <w:rPr>
          <w:color w:val="000000"/>
        </w:rPr>
        <w:t xml:space="preserve">) сведения о нарушении законодательства о градостроительной деятельности, повлекшем за собой причинение вреда, полученные из других источников.</w:t>
      </w:r>
      <w:r>
        <w:rPr>
          <w:color w:val="000000"/>
        </w:rPr>
      </w:r>
    </w:p>
    <w:p>
      <w:pPr>
        <w:pStyle w:val="889"/>
        <w:ind w:firstLine="709"/>
        <w:jc w:val="both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  <w:t xml:space="preserve">6. </w:t>
      </w:r>
      <w:r>
        <w:rPr>
          <w:color w:val="000000"/>
        </w:rPr>
        <w:t xml:space="preserve">Администрация</w:t>
      </w:r>
      <w:r>
        <w:rPr>
          <w:color w:val="000000"/>
        </w:rPr>
        <w:t xml:space="preserve"> </w:t>
      </w:r>
      <w:r>
        <w:t xml:space="preserve">ЗАТО Северск </w:t>
      </w:r>
      <w:r>
        <w:rPr>
          <w:color w:val="000000"/>
        </w:rPr>
        <w:t xml:space="preserve">проводит проверку поступившей информации </w:t>
      </w:r>
      <w:r>
        <w:rPr>
          <w:color w:val="000000"/>
        </w:rPr>
        <w:br/>
        <w:t xml:space="preserve">и не позднее 10 рабочих дней со дня получения информации о причинения вреда (ущерба) готовит проект распоряжения Администрации ЗАТО Северск о создании технической комиссии п</w:t>
      </w:r>
      <w:r>
        <w:rPr>
          <w:color w:val="000000"/>
        </w:rPr>
        <w:t xml:space="preserve">о установлению причины нарушения</w:t>
      </w:r>
      <w:r>
        <w:rPr>
          <w:color w:val="000000"/>
        </w:rPr>
        <w:t xml:space="preserve"> законодательства о градостроительной деятельности или об отсутствии основания для ее формирования.</w:t>
      </w:r>
      <w:r>
        <w:rPr>
          <w:color w:val="000000"/>
        </w:rPr>
      </w:r>
    </w:p>
    <w:p>
      <w:pPr>
        <w:pStyle w:val="889"/>
        <w:ind w:firstLine="709"/>
        <w:jc w:val="both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  <w:t xml:space="preserve">7. Распоряжением </w:t>
      </w:r>
      <w:r>
        <w:rPr>
          <w:color w:val="000000"/>
        </w:rPr>
        <w:t xml:space="preserve">Администрации</w:t>
      </w:r>
      <w:r>
        <w:rPr>
          <w:color w:val="000000"/>
        </w:rPr>
        <w:t xml:space="preserve"> </w:t>
      </w:r>
      <w:r>
        <w:t xml:space="preserve">ЗАТО Северск </w:t>
      </w:r>
      <w:r>
        <w:rPr>
          <w:color w:val="000000"/>
        </w:rPr>
        <w:t xml:space="preserve">утверждается состав те</w:t>
      </w:r>
      <w:r>
        <w:rPr>
          <w:color w:val="000000"/>
        </w:rPr>
        <w:t xml:space="preserve">хнической комиссии, устанавливаю</w:t>
      </w:r>
      <w:r>
        <w:rPr>
          <w:color w:val="000000"/>
        </w:rPr>
        <w:t xml:space="preserve">тся цель и </w:t>
      </w:r>
      <w:r>
        <w:rPr>
          <w:color w:val="000000"/>
        </w:rPr>
        <w:t xml:space="preserve">срок работы технической комиссии. </w:t>
      </w:r>
      <w:r>
        <w:rPr>
          <w:color w:val="000000"/>
        </w:rPr>
      </w:r>
    </w:p>
    <w:p>
      <w:pPr>
        <w:pStyle w:val="889"/>
        <w:ind w:firstLine="709"/>
        <w:jc w:val="both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  <w:t xml:space="preserve">Срок работы технической комиссии не должен превышать сро</w:t>
      </w:r>
      <w:r>
        <w:rPr>
          <w:color w:val="000000"/>
        </w:rPr>
        <w:t xml:space="preserve">ка установления причин нарушения</w:t>
      </w:r>
      <w:r>
        <w:rPr>
          <w:color w:val="000000"/>
        </w:rPr>
        <w:t xml:space="preserve"> законодательства о</w:t>
      </w:r>
      <w:r>
        <w:rPr>
          <w:color w:val="000000"/>
        </w:rPr>
        <w:t xml:space="preserve"> градостроительной деятельности, составляющего</w:t>
      </w:r>
      <w:r>
        <w:rPr>
          <w:color w:val="000000"/>
        </w:rPr>
        <w:t xml:space="preserve"> два месяца. Техническая комиссия создается по каждому отдельному случаю. </w:t>
      </w:r>
      <w:r>
        <w:rPr>
          <w:color w:val="000000"/>
        </w:rPr>
      </w:r>
    </w:p>
    <w:p>
      <w:pPr>
        <w:pStyle w:val="889"/>
        <w:ind w:firstLine="709"/>
        <w:jc w:val="both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  <w:t xml:space="preserve">Основаниями для принятия решения об отказе в создании технической комиссии являются:</w:t>
      </w:r>
      <w:r>
        <w:rPr>
          <w:color w:val="000000"/>
        </w:rPr>
      </w:r>
    </w:p>
    <w:p>
      <w:pPr>
        <w:pStyle w:val="889"/>
        <w:ind w:firstLine="709"/>
        <w:jc w:val="both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  <w:t xml:space="preserve">1</w:t>
      </w:r>
      <w:r>
        <w:rPr>
          <w:color w:val="000000"/>
        </w:rPr>
        <w:t xml:space="preserve">) отсутствие выполнения работ по строительству, реконструкции, капитальному ремонту объекта капитального строительства;</w:t>
      </w:r>
      <w:r>
        <w:rPr>
          <w:color w:val="000000"/>
        </w:rPr>
      </w:r>
    </w:p>
    <w:p>
      <w:pPr>
        <w:pStyle w:val="889"/>
        <w:ind w:firstLine="709"/>
        <w:jc w:val="both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  <w:t xml:space="preserve">2</w:t>
      </w:r>
      <w:r>
        <w:rPr>
          <w:color w:val="000000"/>
        </w:rPr>
        <w:t xml:space="preserve">) отсутствие вреда имуществу / здоровью физического и (или) юридического лица;</w:t>
      </w:r>
      <w:r>
        <w:rPr>
          <w:color w:val="000000"/>
        </w:rPr>
      </w:r>
    </w:p>
    <w:p>
      <w:pPr>
        <w:pStyle w:val="889"/>
        <w:ind w:firstLine="709"/>
        <w:jc w:val="both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  <w:t xml:space="preserve">3</w:t>
      </w:r>
      <w:r>
        <w:rPr>
          <w:color w:val="000000"/>
        </w:rPr>
        <w:t xml:space="preserve">) незначительный размер вреда, причиненного имуществу / здоровью физического </w:t>
      </w:r>
      <w:r>
        <w:rPr>
          <w:color w:val="000000"/>
        </w:rPr>
        <w:br/>
        <w:t xml:space="preserve">или юридического лица, возмещенного с согласия этого лица до принятия решения </w:t>
      </w:r>
      <w:r>
        <w:rPr>
          <w:color w:val="000000"/>
        </w:rPr>
        <w:br/>
        <w:t xml:space="preserve">о создании технической комиссии. </w:t>
      </w:r>
      <w:r>
        <w:rPr>
          <w:color w:val="000000"/>
        </w:rPr>
      </w:r>
    </w:p>
    <w:p>
      <w:pPr>
        <w:pStyle w:val="889"/>
        <w:ind w:firstLine="709"/>
        <w:jc w:val="both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  <w:t xml:space="preserve">Отказ в создании технической комиссии может быть обжалован заявителем </w:t>
      </w:r>
      <w:r>
        <w:rPr>
          <w:color w:val="000000"/>
        </w:rPr>
        <w:br/>
        <w:t xml:space="preserve">в судебном порядке.</w:t>
      </w:r>
      <w:r>
        <w:rPr>
          <w:color w:val="000000"/>
        </w:rPr>
      </w:r>
    </w:p>
    <w:p>
      <w:pPr>
        <w:pStyle w:val="889"/>
        <w:ind w:firstLine="709"/>
        <w:jc w:val="both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  <w:t xml:space="preserve">8. По итогам деятельности </w:t>
      </w:r>
      <w:r>
        <w:rPr>
          <w:color w:val="000000"/>
        </w:rPr>
        <w:t xml:space="preserve">технической комиссии</w:t>
      </w:r>
      <w:r>
        <w:rPr>
          <w:color w:val="000000"/>
        </w:rPr>
        <w:t xml:space="preserve"> в установленный распоряжением </w:t>
      </w:r>
      <w:r>
        <w:rPr>
          <w:color w:val="000000"/>
        </w:rPr>
        <w:t xml:space="preserve">Администрации</w:t>
      </w:r>
      <w:r>
        <w:rPr>
          <w:color w:val="000000"/>
        </w:rPr>
        <w:t xml:space="preserve"> </w:t>
      </w:r>
      <w:r>
        <w:t xml:space="preserve">ЗАТО Северск </w:t>
      </w:r>
      <w:r>
        <w:rPr>
          <w:color w:val="000000"/>
        </w:rPr>
        <w:t xml:space="preserve">о ее создании срок</w:t>
      </w:r>
      <w:r>
        <w:rPr>
          <w:color w:val="000000"/>
        </w:rPr>
        <w:t xml:space="preserve"> технической комиссией осуществляется подготовка заключения, содержащего следующие выводы:</w:t>
      </w:r>
      <w:r>
        <w:rPr>
          <w:color w:val="000000"/>
        </w:rPr>
      </w:r>
    </w:p>
    <w:p>
      <w:pPr>
        <w:pStyle w:val="889"/>
        <w:ind w:firstLine="709"/>
        <w:jc w:val="both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  <w:t xml:space="preserve">1</w:t>
      </w:r>
      <w:r>
        <w:rPr>
          <w:color w:val="000000"/>
        </w:rPr>
        <w:t xml:space="preserve">) о причинах нарушения законодательства, в результате которого был причинен вред жизни или здоровью физических лиц, имуществу физических или юридических </w:t>
      </w:r>
      <w:r>
        <w:rPr>
          <w:color w:val="000000"/>
        </w:rPr>
        <w:br/>
        <w:t xml:space="preserve">лиц, и размерах</w:t>
      </w:r>
      <w:r>
        <w:rPr>
          <w:color w:val="000000"/>
        </w:rPr>
        <w:t xml:space="preserve"> причиненного вреда</w:t>
      </w:r>
      <w:r>
        <w:rPr>
          <w:color w:val="000000"/>
        </w:rPr>
        <w:t xml:space="preserve">;</w:t>
      </w:r>
      <w:r>
        <w:rPr>
          <w:color w:val="000000"/>
        </w:rPr>
      </w:r>
    </w:p>
    <w:p>
      <w:pPr>
        <w:pStyle w:val="889"/>
        <w:ind w:firstLine="709"/>
        <w:jc w:val="both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  <w:t xml:space="preserve">2</w:t>
      </w:r>
      <w:r>
        <w:rPr>
          <w:color w:val="000000"/>
        </w:rPr>
        <w:t xml:space="preserve">) об обстоятельствах, указывающих на виновность лиц;</w:t>
      </w:r>
      <w:r>
        <w:rPr>
          <w:color w:val="000000"/>
        </w:rPr>
      </w:r>
    </w:p>
    <w:p>
      <w:pPr>
        <w:pStyle w:val="889"/>
        <w:ind w:firstLine="709"/>
        <w:jc w:val="both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  <w:t xml:space="preserve">3</w:t>
      </w:r>
      <w:r>
        <w:rPr>
          <w:color w:val="000000"/>
        </w:rPr>
        <w:t xml:space="preserve">) о необходимых мерах по восстановлению благоприятных условий жизнедеятельности человека.</w:t>
      </w:r>
      <w:r>
        <w:rPr>
          <w:color w:val="000000"/>
        </w:rPr>
      </w:r>
    </w:p>
    <w:p>
      <w:pPr>
        <w:pStyle w:val="889"/>
        <w:ind w:firstLine="709"/>
        <w:jc w:val="both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  <w:t xml:space="preserve">В случае несогласия отдельных членов </w:t>
      </w:r>
      <w:r>
        <w:rPr>
          <w:color w:val="000000"/>
        </w:rPr>
        <w:t xml:space="preserve">технической </w:t>
      </w:r>
      <w:r>
        <w:rPr>
          <w:color w:val="000000"/>
        </w:rPr>
        <w:t xml:space="preserve">комиссии с общими выводами технической комиссии они обязаны представить председателю </w:t>
      </w:r>
      <w:r>
        <w:rPr>
          <w:color w:val="000000"/>
        </w:rPr>
        <w:t xml:space="preserve">технической </w:t>
      </w:r>
      <w:r>
        <w:rPr>
          <w:color w:val="000000"/>
        </w:rPr>
        <w:t xml:space="preserve">комиссии мотивированное особое мнение в письменной форме, с учетом которого председателем </w:t>
      </w:r>
      <w:r>
        <w:rPr>
          <w:color w:val="000000"/>
        </w:rPr>
        <w:t xml:space="preserve">технической </w:t>
      </w:r>
      <w:r>
        <w:rPr>
          <w:color w:val="000000"/>
        </w:rPr>
        <w:t xml:space="preserve">комиссии принимается решение об окончании работы </w:t>
      </w:r>
      <w:r>
        <w:rPr>
          <w:color w:val="000000"/>
        </w:rPr>
        <w:t xml:space="preserve">технической </w:t>
      </w:r>
      <w:r>
        <w:rPr>
          <w:color w:val="000000"/>
        </w:rPr>
        <w:t xml:space="preserve">комиссии или продолжении расследования причин допущенных нарушений.</w:t>
      </w:r>
      <w:r>
        <w:rPr>
          <w:color w:val="000000"/>
        </w:rPr>
      </w:r>
    </w:p>
    <w:p>
      <w:pPr>
        <w:pStyle w:val="889"/>
        <w:ind w:firstLine="709"/>
        <w:jc w:val="both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  <w:t xml:space="preserve">Лица, участвующие в расследовании причин нарушения законодательства </w:t>
      </w:r>
      <w:r>
        <w:rPr>
          <w:color w:val="000000"/>
        </w:rPr>
        <w:br/>
        <w:t xml:space="preserve">о градостроительной деятельности в качестве наблюдателей, в случае несогласия </w:t>
      </w:r>
      <w:r>
        <w:rPr>
          <w:color w:val="000000"/>
        </w:rPr>
        <w:br/>
        <w:t xml:space="preserve">с заключением технической комиссии</w:t>
      </w:r>
      <w:r>
        <w:rPr>
          <w:color w:val="000000"/>
        </w:rPr>
        <w:t xml:space="preserve">,</w:t>
      </w:r>
      <w:r>
        <w:rPr>
          <w:color w:val="000000"/>
        </w:rPr>
        <w:t xml:space="preserve"> могут оспорить его в судебном порядке. Заключение </w:t>
      </w:r>
      <w:r>
        <w:rPr>
          <w:color w:val="000000"/>
        </w:rPr>
        <w:t xml:space="preserve">технической комиссии, подписанное всеми членами технической комиссии, подлежит утверждению </w:t>
      </w:r>
      <w:r>
        <w:rPr>
          <w:color w:val="000000"/>
        </w:rPr>
        <w:t xml:space="preserve">Мэром</w:t>
      </w:r>
      <w:r>
        <w:rPr>
          <w:color w:val="000000"/>
        </w:rPr>
        <w:t xml:space="preserve"> ЗАТО Северск</w:t>
      </w:r>
      <w:r>
        <w:rPr>
          <w:color w:val="000000"/>
        </w:rPr>
        <w:t xml:space="preserve">.</w:t>
      </w:r>
      <w:r>
        <w:rPr>
          <w:color w:val="000000"/>
        </w:rPr>
      </w:r>
    </w:p>
    <w:p>
      <w:pPr>
        <w:pStyle w:val="889"/>
        <w:ind w:firstLine="709"/>
        <w:jc w:val="both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  <w:t xml:space="preserve">9. В срок не более десяти рабочих д</w:t>
      </w:r>
      <w:r>
        <w:rPr>
          <w:color w:val="000000"/>
        </w:rPr>
        <w:t xml:space="preserve">ней после утверждения заключения</w:t>
      </w:r>
      <w:r>
        <w:rPr>
          <w:color w:val="000000"/>
        </w:rPr>
        <w:t xml:space="preserve"> технической комиссии </w:t>
      </w:r>
      <w:r>
        <w:rPr>
          <w:color w:val="000000"/>
        </w:rPr>
        <w:t xml:space="preserve">оно </w:t>
      </w:r>
      <w:r>
        <w:rPr>
          <w:color w:val="000000"/>
        </w:rPr>
        <w:t xml:space="preserve">направляется в органы государственного строительного надзора для решения вопроса о привлечении виновных лиц к ответственности в порядке, установленном законом, </w:t>
      </w:r>
      <w:r>
        <w:rPr>
          <w:color w:val="000000"/>
        </w:rPr>
        <w:br/>
      </w:r>
      <w:r>
        <w:rPr>
          <w:color w:val="000000"/>
        </w:rPr>
        <w:t xml:space="preserve">а также лицу,</w:t>
      </w:r>
      <w:r>
        <w:rPr>
          <w:color w:val="000000"/>
        </w:rPr>
        <w:t xml:space="preserve"> осуществляющему строительство, </w:t>
      </w:r>
      <w:r>
        <w:rPr>
          <w:color w:val="000000"/>
        </w:rPr>
        <w:t xml:space="preserve">ре</w:t>
      </w:r>
      <w:r>
        <w:rPr>
          <w:color w:val="000000"/>
        </w:rPr>
        <w:t xml:space="preserve">конструкцию, капитальный ремонт</w:t>
      </w:r>
      <w:r>
        <w:rPr>
          <w:color w:val="000000"/>
        </w:rPr>
        <w:t xml:space="preserve"> </w:t>
      </w:r>
      <w:r>
        <w:rPr>
          <w:color w:val="000000"/>
        </w:rPr>
        <w:br/>
        <w:t xml:space="preserve">или эксплуатацию объекта, для устранения причин нарушения законодательства </w:t>
      </w:r>
      <w:r>
        <w:rPr>
          <w:color w:val="000000"/>
        </w:rPr>
        <w:br/>
        <w:t xml:space="preserve">о градостроительной деятельности, повлекшего причинение вреда.</w:t>
      </w:r>
      <w:r>
        <w:rPr>
          <w:color w:val="000000"/>
        </w:rPr>
      </w:r>
    </w:p>
    <w:p>
      <w:pPr>
        <w:pStyle w:val="889"/>
        <w:ind w:firstLine="709"/>
        <w:jc w:val="both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  <w:t xml:space="preserve">10. Заключение технической комиссии подлежит опубликованию в средствах массовой информации.</w:t>
      </w:r>
      <w:r>
        <w:rPr>
          <w:color w:val="000000"/>
        </w:rPr>
      </w:r>
    </w:p>
    <w:sectPr>
      <w:headerReference w:type="default" r:id="rId8"/>
      <w:footerReference w:type="default" r:id="rId9"/>
      <w:footerReference w:type="first" r:id="rId10"/>
      <w:footnotePr/>
      <w:endnotePr/>
      <w:type w:val="nextPage"/>
      <w:pgSz w:w="11906" w:h="16838" w:orient="portrait"/>
      <w:pgMar w:top="1134" w:right="567" w:bottom="1134" w:left="1701" w:header="708" w:footer="708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Segoe UI">
    <w:panose1 w:val="020B0502040204020203"/>
  </w:font>
  <w:font w:name="Liberation Sans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6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 xml:space="preserve">Внутренний номер: 0378912</w:t>
    </w:r>
    <w:r>
      <w:rPr>
        <w:rFonts w:ascii="Times New Roman" w:hAnsi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8"/>
      <w:spacing w:before="0" w:beforeAutospacing="0" w:after="0" w:afterAutospacing="0"/>
      <w:tabs>
        <w:tab w:val="left" w:pos="4677" w:leader="none"/>
        <w:tab w:val="left" w:pos="9356" w:leader="none"/>
      </w:tabs>
    </w:pPr>
    <w:r>
      <w:rPr>
        <w:rFonts w:ascii="Times New Roman CYR" w:hAnsi="Times New Roman CYR" w:cs="Times New Roman CYR"/>
        <w:color w:val="000000"/>
        <w:sz w:val="20"/>
        <w:szCs w:val="20"/>
      </w:rPr>
      <w:t xml:space="preserve">Внутренний номер: 0378912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4"/>
      <w:jc w:val="center"/>
      <w:rPr>
        <w:sz w:val="24"/>
        <w:szCs w:val="24"/>
      </w:rPr>
    </w:pPr>
    <w:r>
      <w:rPr>
        <w:rFonts w:ascii="Times New Roman" w:hAnsi="Times New Roman"/>
        <w:sz w:val="24"/>
        <w:szCs w:val="24"/>
      </w:rPr>
      <w:fldChar w:fldCharType="begin"/>
    </w:r>
    <w:r>
      <w:rPr>
        <w:rFonts w:ascii="Times New Roman" w:hAnsi="Times New Roman"/>
        <w:sz w:val="24"/>
        <w:szCs w:val="24"/>
      </w:rPr>
      <w:instrText xml:space="preserve">PAGE \* MERGEFORMAT</w:instrText>
    </w:r>
    <w:r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sz w:val="24"/>
        <w:szCs w:val="24"/>
      </w:rPr>
      <w:t xml:space="preserve">3</w:t>
    </w:r>
    <w:r>
      <w:rPr>
        <w:rFonts w:ascii="Times New Roman" w:hAnsi="Times New Roman"/>
        <w:sz w:val="24"/>
        <w:szCs w:val="24"/>
      </w:rPr>
      <w:fldChar w:fldCharType="end"/>
    </w:r>
    <w:r>
      <w:rPr>
        <w:sz w:val="24"/>
        <w:szCs w:val="24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8" w:default="1">
    <w:name w:val="Normal"/>
    <w:qFormat/>
    <w:pPr>
      <w:spacing w:after="200" w:line="276" w:lineRule="auto"/>
    </w:pPr>
    <w:rPr>
      <w:sz w:val="22"/>
      <w:szCs w:val="22"/>
    </w:rPr>
  </w:style>
  <w:style w:type="paragraph" w:styleId="689">
    <w:name w:val="Heading 1"/>
    <w:basedOn w:val="688"/>
    <w:next w:val="688"/>
    <w:link w:val="718"/>
    <w:uiPriority w:val="9"/>
    <w:qFormat/>
    <w:pPr>
      <w:keepLines/>
      <w:keepNext/>
      <w:spacing w:before="48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690">
    <w:name w:val="Heading 2"/>
    <w:basedOn w:val="688"/>
    <w:next w:val="688"/>
    <w:link w:val="719"/>
    <w:uiPriority w:val="9"/>
    <w:unhideWhenUsed/>
    <w:qFormat/>
    <w:pPr>
      <w:keepLines/>
      <w:keepNext/>
      <w:spacing w:before="360"/>
      <w:outlineLvl w:val="1"/>
    </w:pPr>
    <w:rPr>
      <w:rFonts w:ascii="Liberation Sans" w:hAnsi="Liberation Sans" w:eastAsia="Liberation Sans" w:cs="Liberation Sans"/>
      <w:sz w:val="34"/>
    </w:rPr>
  </w:style>
  <w:style w:type="paragraph" w:styleId="691">
    <w:name w:val="Heading 3"/>
    <w:basedOn w:val="688"/>
    <w:next w:val="688"/>
    <w:link w:val="720"/>
    <w:uiPriority w:val="9"/>
    <w:unhideWhenUsed/>
    <w:qFormat/>
    <w:pPr>
      <w:keepLines/>
      <w:keepNext/>
      <w:spacing w:before="32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692">
    <w:name w:val="Heading 4"/>
    <w:basedOn w:val="688"/>
    <w:next w:val="688"/>
    <w:link w:val="721"/>
    <w:uiPriority w:val="9"/>
    <w:unhideWhenUsed/>
    <w:qFormat/>
    <w:pPr>
      <w:keepLines/>
      <w:keepNext/>
      <w:spacing w:before="32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93">
    <w:name w:val="Heading 5"/>
    <w:basedOn w:val="688"/>
    <w:next w:val="688"/>
    <w:link w:val="722"/>
    <w:uiPriority w:val="9"/>
    <w:unhideWhenUsed/>
    <w:qFormat/>
    <w:pPr>
      <w:keepLines/>
      <w:keepNext/>
      <w:spacing w:before="32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94">
    <w:name w:val="Heading 6"/>
    <w:basedOn w:val="688"/>
    <w:next w:val="688"/>
    <w:link w:val="723"/>
    <w:uiPriority w:val="9"/>
    <w:unhideWhenUsed/>
    <w:qFormat/>
    <w:pPr>
      <w:keepLines/>
      <w:keepNext/>
      <w:spacing w:before="320"/>
      <w:outlineLvl w:val="5"/>
    </w:pPr>
    <w:rPr>
      <w:rFonts w:ascii="Liberation Sans" w:hAnsi="Liberation Sans" w:eastAsia="Liberation Sans" w:cs="Liberation Sans"/>
      <w:b/>
      <w:bCs/>
    </w:rPr>
  </w:style>
  <w:style w:type="paragraph" w:styleId="695">
    <w:name w:val="Heading 7"/>
    <w:basedOn w:val="688"/>
    <w:next w:val="688"/>
    <w:link w:val="724"/>
    <w:uiPriority w:val="9"/>
    <w:unhideWhenUsed/>
    <w:qFormat/>
    <w:pPr>
      <w:keepLines/>
      <w:keepNext/>
      <w:spacing w:before="32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696">
    <w:name w:val="Heading 8"/>
    <w:basedOn w:val="688"/>
    <w:next w:val="688"/>
    <w:link w:val="725"/>
    <w:uiPriority w:val="9"/>
    <w:unhideWhenUsed/>
    <w:qFormat/>
    <w:pPr>
      <w:keepLines/>
      <w:keepNext/>
      <w:spacing w:before="320"/>
      <w:outlineLvl w:val="7"/>
    </w:pPr>
    <w:rPr>
      <w:rFonts w:ascii="Liberation Sans" w:hAnsi="Liberation Sans" w:eastAsia="Liberation Sans" w:cs="Liberation Sans"/>
      <w:i/>
      <w:iCs/>
    </w:rPr>
  </w:style>
  <w:style w:type="paragraph" w:styleId="697">
    <w:name w:val="Heading 9"/>
    <w:basedOn w:val="688"/>
    <w:next w:val="688"/>
    <w:link w:val="726"/>
    <w:uiPriority w:val="9"/>
    <w:unhideWhenUsed/>
    <w:qFormat/>
    <w:pPr>
      <w:keepLines/>
      <w:keepNext/>
      <w:spacing w:before="32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98" w:default="1">
    <w:name w:val="Default Paragraph Font"/>
    <w:uiPriority w:val="1"/>
    <w:semiHidden/>
    <w:unhideWhenUsed/>
  </w:style>
  <w:style w:type="table" w:styleId="69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0" w:default="1">
    <w:name w:val="No List"/>
    <w:uiPriority w:val="99"/>
    <w:semiHidden/>
    <w:unhideWhenUsed/>
  </w:style>
  <w:style w:type="character" w:styleId="701" w:customStyle="1">
    <w:name w:val="Heading 1 Char"/>
    <w:basedOn w:val="698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02" w:customStyle="1">
    <w:name w:val="Heading 2 Char"/>
    <w:basedOn w:val="698"/>
    <w:uiPriority w:val="9"/>
    <w:rPr>
      <w:rFonts w:ascii="Liberation Sans" w:hAnsi="Liberation Sans" w:eastAsia="Liberation Sans" w:cs="Liberation Sans"/>
      <w:sz w:val="34"/>
    </w:rPr>
  </w:style>
  <w:style w:type="character" w:styleId="703" w:customStyle="1">
    <w:name w:val="Heading 3 Char"/>
    <w:basedOn w:val="698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04" w:customStyle="1">
    <w:name w:val="Heading 4 Char"/>
    <w:basedOn w:val="698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05" w:customStyle="1">
    <w:name w:val="Heading 5 Char"/>
    <w:basedOn w:val="698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06" w:customStyle="1">
    <w:name w:val="Heading 6 Char"/>
    <w:basedOn w:val="698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07" w:customStyle="1">
    <w:name w:val="Heading 7 Char"/>
    <w:basedOn w:val="698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08" w:customStyle="1">
    <w:name w:val="Heading 8 Char"/>
    <w:basedOn w:val="69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09" w:customStyle="1">
    <w:name w:val="Heading 9 Char"/>
    <w:basedOn w:val="698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10">
    <w:name w:val="No Spacing"/>
    <w:uiPriority w:val="1"/>
    <w:qFormat/>
  </w:style>
  <w:style w:type="character" w:styleId="711" w:customStyle="1">
    <w:name w:val="Title Char"/>
    <w:basedOn w:val="698"/>
    <w:uiPriority w:val="10"/>
    <w:rPr>
      <w:sz w:val="48"/>
      <w:szCs w:val="48"/>
    </w:rPr>
  </w:style>
  <w:style w:type="character" w:styleId="712" w:customStyle="1">
    <w:name w:val="Subtitle Char"/>
    <w:basedOn w:val="698"/>
    <w:uiPriority w:val="11"/>
    <w:rPr>
      <w:sz w:val="24"/>
      <w:szCs w:val="24"/>
    </w:rPr>
  </w:style>
  <w:style w:type="character" w:styleId="713" w:customStyle="1">
    <w:name w:val="Quote Char"/>
    <w:uiPriority w:val="29"/>
    <w:rPr>
      <w:i/>
    </w:rPr>
  </w:style>
  <w:style w:type="character" w:styleId="714" w:customStyle="1">
    <w:name w:val="Intense Quote Char"/>
    <w:uiPriority w:val="30"/>
    <w:rPr>
      <w:i/>
    </w:rPr>
  </w:style>
  <w:style w:type="character" w:styleId="715" w:customStyle="1">
    <w:name w:val="Caption Char"/>
    <w:basedOn w:val="698"/>
    <w:uiPriority w:val="35"/>
    <w:rPr>
      <w:b/>
      <w:bCs/>
      <w:color w:val="5b9bd5" w:themeColor="accent1"/>
      <w:sz w:val="18"/>
      <w:szCs w:val="18"/>
    </w:rPr>
  </w:style>
  <w:style w:type="character" w:styleId="716" w:customStyle="1">
    <w:name w:val="Footnote Text Char"/>
    <w:uiPriority w:val="99"/>
    <w:rPr>
      <w:sz w:val="18"/>
    </w:rPr>
  </w:style>
  <w:style w:type="character" w:styleId="717" w:customStyle="1">
    <w:name w:val="Endnote Text Char"/>
    <w:uiPriority w:val="99"/>
    <w:rPr>
      <w:sz w:val="20"/>
    </w:rPr>
  </w:style>
  <w:style w:type="character" w:styleId="718" w:customStyle="1">
    <w:name w:val="Заголовок 1 Знак"/>
    <w:basedOn w:val="698"/>
    <w:link w:val="689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19" w:customStyle="1">
    <w:name w:val="Заголовок 2 Знак"/>
    <w:basedOn w:val="698"/>
    <w:link w:val="690"/>
    <w:uiPriority w:val="9"/>
    <w:rPr>
      <w:rFonts w:ascii="Liberation Sans" w:hAnsi="Liberation Sans" w:eastAsia="Liberation Sans" w:cs="Liberation Sans"/>
      <w:sz w:val="34"/>
    </w:rPr>
  </w:style>
  <w:style w:type="character" w:styleId="720" w:customStyle="1">
    <w:name w:val="Заголовок 3 Знак"/>
    <w:basedOn w:val="698"/>
    <w:link w:val="691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21" w:customStyle="1">
    <w:name w:val="Заголовок 4 Знак"/>
    <w:basedOn w:val="698"/>
    <w:link w:val="692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22" w:customStyle="1">
    <w:name w:val="Заголовок 5 Знак"/>
    <w:basedOn w:val="698"/>
    <w:link w:val="69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23" w:customStyle="1">
    <w:name w:val="Заголовок 6 Знак"/>
    <w:basedOn w:val="698"/>
    <w:link w:val="69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24" w:customStyle="1">
    <w:name w:val="Заголовок 7 Знак"/>
    <w:basedOn w:val="698"/>
    <w:link w:val="695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25" w:customStyle="1">
    <w:name w:val="Заголовок 8 Знак"/>
    <w:basedOn w:val="698"/>
    <w:link w:val="696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26" w:customStyle="1">
    <w:name w:val="Заголовок 9 Знак"/>
    <w:basedOn w:val="698"/>
    <w:link w:val="697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27">
    <w:name w:val="List Paragraph"/>
    <w:basedOn w:val="688"/>
    <w:uiPriority w:val="34"/>
    <w:qFormat/>
    <w:pPr>
      <w:contextualSpacing/>
      <w:ind w:left="720"/>
    </w:pPr>
  </w:style>
  <w:style w:type="paragraph" w:styleId="728">
    <w:name w:val="Title"/>
    <w:basedOn w:val="688"/>
    <w:next w:val="688"/>
    <w:link w:val="729"/>
    <w:uiPriority w:val="10"/>
    <w:qFormat/>
    <w:pPr>
      <w:contextualSpacing/>
      <w:spacing w:before="300"/>
    </w:pPr>
    <w:rPr>
      <w:sz w:val="48"/>
      <w:szCs w:val="48"/>
    </w:rPr>
  </w:style>
  <w:style w:type="character" w:styleId="729" w:customStyle="1">
    <w:name w:val="Название Знак"/>
    <w:basedOn w:val="698"/>
    <w:link w:val="728"/>
    <w:uiPriority w:val="10"/>
    <w:rPr>
      <w:sz w:val="48"/>
      <w:szCs w:val="48"/>
    </w:rPr>
  </w:style>
  <w:style w:type="paragraph" w:styleId="730">
    <w:name w:val="Subtitle"/>
    <w:basedOn w:val="688"/>
    <w:next w:val="688"/>
    <w:link w:val="731"/>
    <w:uiPriority w:val="11"/>
    <w:qFormat/>
    <w:pPr>
      <w:spacing w:before="200"/>
    </w:pPr>
    <w:rPr>
      <w:sz w:val="24"/>
      <w:szCs w:val="24"/>
    </w:rPr>
  </w:style>
  <w:style w:type="character" w:styleId="731" w:customStyle="1">
    <w:name w:val="Подзаголовок Знак"/>
    <w:basedOn w:val="698"/>
    <w:link w:val="730"/>
    <w:uiPriority w:val="11"/>
    <w:rPr>
      <w:sz w:val="24"/>
      <w:szCs w:val="24"/>
    </w:rPr>
  </w:style>
  <w:style w:type="paragraph" w:styleId="732">
    <w:name w:val="Quote"/>
    <w:basedOn w:val="688"/>
    <w:next w:val="688"/>
    <w:link w:val="733"/>
    <w:uiPriority w:val="29"/>
    <w:qFormat/>
    <w:pPr>
      <w:ind w:left="720" w:right="720"/>
    </w:pPr>
    <w:rPr>
      <w:i/>
    </w:rPr>
  </w:style>
  <w:style w:type="character" w:styleId="733" w:customStyle="1">
    <w:name w:val="Цитата 2 Знак"/>
    <w:link w:val="732"/>
    <w:uiPriority w:val="29"/>
    <w:rPr>
      <w:i/>
    </w:rPr>
  </w:style>
  <w:style w:type="paragraph" w:styleId="734">
    <w:name w:val="Intense Quote"/>
    <w:basedOn w:val="688"/>
    <w:next w:val="688"/>
    <w:link w:val="73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5" w:customStyle="1">
    <w:name w:val="Выделенная цитата Знак"/>
    <w:link w:val="734"/>
    <w:uiPriority w:val="30"/>
    <w:rPr>
      <w:i/>
    </w:rPr>
  </w:style>
  <w:style w:type="character" w:styleId="736" w:customStyle="1">
    <w:name w:val="Header Char"/>
    <w:basedOn w:val="698"/>
    <w:uiPriority w:val="99"/>
  </w:style>
  <w:style w:type="character" w:styleId="737" w:customStyle="1">
    <w:name w:val="Footer Char"/>
    <w:basedOn w:val="698"/>
    <w:uiPriority w:val="99"/>
  </w:style>
  <w:style w:type="paragraph" w:styleId="738">
    <w:name w:val="Caption"/>
    <w:basedOn w:val="688"/>
    <w:next w:val="688"/>
    <w:link w:val="739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styleId="739" w:customStyle="1">
    <w:name w:val="Название объекта Знак"/>
    <w:basedOn w:val="698"/>
    <w:link w:val="738"/>
    <w:uiPriority w:val="35"/>
    <w:rPr>
      <w:b/>
      <w:bCs/>
      <w:color w:val="5b9bd5" w:themeColor="accent1"/>
      <w:sz w:val="18"/>
      <w:szCs w:val="18"/>
    </w:rPr>
  </w:style>
  <w:style w:type="table" w:styleId="740">
    <w:name w:val="Table Grid"/>
    <w:basedOn w:val="699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41" w:customStyle="1">
    <w:name w:val="Table Grid Light"/>
    <w:basedOn w:val="69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2">
    <w:name w:val="Plain Table 1"/>
    <w:basedOn w:val="69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3">
    <w:name w:val="Plain Table 2"/>
    <w:basedOn w:val="699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4">
    <w:name w:val="Plain Table 3"/>
    <w:basedOn w:val="699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5">
    <w:name w:val="Plain Table 4"/>
    <w:basedOn w:val="699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Plain Table 5"/>
    <w:basedOn w:val="699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7">
    <w:name w:val="Grid Table 1 Light"/>
    <w:basedOn w:val="699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Grid Table 1 Light - Accent 1"/>
    <w:basedOn w:val="699"/>
    <w:uiPriority w:val="99"/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2"/>
    <w:basedOn w:val="699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3"/>
    <w:basedOn w:val="699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4"/>
    <w:basedOn w:val="699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5"/>
    <w:basedOn w:val="699"/>
    <w:uiPriority w:val="99"/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6"/>
    <w:basedOn w:val="699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2"/>
    <w:basedOn w:val="69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2 - Accent 1"/>
    <w:basedOn w:val="699"/>
    <w:uiPriority w:val="99"/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2"/>
    <w:basedOn w:val="699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3"/>
    <w:basedOn w:val="699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4"/>
    <w:basedOn w:val="699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5"/>
    <w:basedOn w:val="699"/>
    <w:uiPriority w:val="99"/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6"/>
    <w:basedOn w:val="699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"/>
    <w:basedOn w:val="69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3 - Accent 1"/>
    <w:basedOn w:val="699"/>
    <w:uiPriority w:val="99"/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2"/>
    <w:basedOn w:val="699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3"/>
    <w:basedOn w:val="699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4"/>
    <w:basedOn w:val="699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5"/>
    <w:basedOn w:val="699"/>
    <w:uiPriority w:val="99"/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6"/>
    <w:basedOn w:val="699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4"/>
    <w:basedOn w:val="699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9" w:customStyle="1">
    <w:name w:val="Grid Table 4 - Accent 1"/>
    <w:basedOn w:val="699"/>
    <w:uiPriority w:val="59"/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770" w:customStyle="1">
    <w:name w:val="Grid Table 4 - Accent 2"/>
    <w:basedOn w:val="699"/>
    <w:uiPriority w:val="5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71" w:customStyle="1">
    <w:name w:val="Grid Table 4 - Accent 3"/>
    <w:basedOn w:val="699"/>
    <w:uiPriority w:val="5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72" w:customStyle="1">
    <w:name w:val="Grid Table 4 - Accent 4"/>
    <w:basedOn w:val="699"/>
    <w:uiPriority w:val="5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73" w:customStyle="1">
    <w:name w:val="Grid Table 4 - Accent 5"/>
    <w:basedOn w:val="699"/>
    <w:uiPriority w:val="59"/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774" w:customStyle="1">
    <w:name w:val="Grid Table 4 - Accent 6"/>
    <w:basedOn w:val="699"/>
    <w:uiPriority w:val="5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75">
    <w:name w:val="Grid Table 5 Dark"/>
    <w:basedOn w:val="69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6" w:customStyle="1">
    <w:name w:val="Grid Table 5 Dark- Accent 1"/>
    <w:basedOn w:val="69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 - Accent 2"/>
    <w:basedOn w:val="69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 - Accent 3"/>
    <w:basedOn w:val="69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- Accent 4"/>
    <w:basedOn w:val="69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 - Accent 5"/>
    <w:basedOn w:val="69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6"/>
    <w:basedOn w:val="69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82">
    <w:name w:val="Grid Table 6 Colorful"/>
    <w:basedOn w:val="699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3" w:customStyle="1">
    <w:name w:val="Grid Table 6 Colorful - Accent 1"/>
    <w:basedOn w:val="699"/>
    <w:uiPriority w:val="99"/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784" w:customStyle="1">
    <w:name w:val="Grid Table 6 Colorful - Accent 2"/>
    <w:basedOn w:val="699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85" w:customStyle="1">
    <w:name w:val="Grid Table 6 Colorful - Accent 3"/>
    <w:basedOn w:val="699"/>
    <w:uiPriority w:val="99"/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786" w:customStyle="1">
    <w:name w:val="Grid Table 6 Colorful - Accent 4"/>
    <w:basedOn w:val="699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787" w:customStyle="1">
    <w:name w:val="Grid Table 6 Colorful - Accent 5"/>
    <w:basedOn w:val="699"/>
    <w:uiPriority w:val="99"/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88" w:customStyle="1">
    <w:name w:val="Grid Table 6 Colorful - Accent 6"/>
    <w:basedOn w:val="699"/>
    <w:uiPriority w:val="99"/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89">
    <w:name w:val="Grid Table 7 Colorful"/>
    <w:basedOn w:val="699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7 Colorful - Accent 1"/>
    <w:basedOn w:val="699"/>
    <w:uiPriority w:val="99"/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7 Colorful - Accent 2"/>
    <w:basedOn w:val="699"/>
    <w:uiPriority w:val="99"/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7 Colorful - Accent 3"/>
    <w:basedOn w:val="699"/>
    <w:uiPriority w:val="99"/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7 Colorful - Accent 4"/>
    <w:basedOn w:val="699"/>
    <w:uiPriority w:val="99"/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7 Colorful - Accent 5"/>
    <w:basedOn w:val="699"/>
    <w:uiPriority w:val="99"/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rFonts w:ascii="Liberation Sans" w:hAnsi="Liberation Sans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7 Colorful - Accent 6"/>
    <w:basedOn w:val="699"/>
    <w:uiPriority w:val="99"/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"/>
    <w:basedOn w:val="699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List Table 1 Light - Accent 1"/>
    <w:basedOn w:val="699"/>
    <w:uiPriority w:val="99"/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2"/>
    <w:basedOn w:val="699"/>
    <w:uiPriority w:val="99"/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3"/>
    <w:basedOn w:val="699"/>
    <w:uiPriority w:val="99"/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4"/>
    <w:basedOn w:val="699"/>
    <w:uiPriority w:val="99"/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5"/>
    <w:basedOn w:val="699"/>
    <w:uiPriority w:val="99"/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6"/>
    <w:basedOn w:val="699"/>
    <w:uiPriority w:val="99"/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2"/>
    <w:basedOn w:val="699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4" w:customStyle="1">
    <w:name w:val="List Table 2 - Accent 1"/>
    <w:basedOn w:val="699"/>
    <w:uiPriority w:val="99"/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2"/>
    <w:basedOn w:val="699"/>
    <w:uiPriority w:val="99"/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3"/>
    <w:basedOn w:val="699"/>
    <w:uiPriority w:val="99"/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4"/>
    <w:basedOn w:val="699"/>
    <w:uiPriority w:val="99"/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5"/>
    <w:basedOn w:val="699"/>
    <w:uiPriority w:val="99"/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6"/>
    <w:basedOn w:val="699"/>
    <w:uiPriority w:val="99"/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10">
    <w:name w:val="List Table 3"/>
    <w:basedOn w:val="69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3 - Accent 1"/>
    <w:basedOn w:val="699"/>
    <w:uiPriority w:val="99"/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2"/>
    <w:basedOn w:val="699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3"/>
    <w:basedOn w:val="699"/>
    <w:uiPriority w:val="99"/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4"/>
    <w:basedOn w:val="699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5"/>
    <w:basedOn w:val="699"/>
    <w:uiPriority w:val="99"/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6"/>
    <w:basedOn w:val="699"/>
    <w:uiPriority w:val="99"/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"/>
    <w:basedOn w:val="69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4 - Accent 1"/>
    <w:basedOn w:val="699"/>
    <w:uiPriority w:val="99"/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2"/>
    <w:basedOn w:val="699"/>
    <w:uiPriority w:val="9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3"/>
    <w:basedOn w:val="699"/>
    <w:uiPriority w:val="9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4"/>
    <w:basedOn w:val="699"/>
    <w:uiPriority w:val="9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5"/>
    <w:basedOn w:val="699"/>
    <w:uiPriority w:val="99"/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6"/>
    <w:basedOn w:val="699"/>
    <w:uiPriority w:val="9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5 Dark"/>
    <w:basedOn w:val="699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25" w:customStyle="1">
    <w:name w:val="List Table 5 Dark - Accent 1"/>
    <w:basedOn w:val="699"/>
    <w:uiPriority w:val="99"/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26" w:customStyle="1">
    <w:name w:val="List Table 5 Dark - Accent 2"/>
    <w:basedOn w:val="699"/>
    <w:uiPriority w:val="99"/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27" w:customStyle="1">
    <w:name w:val="List Table 5 Dark - Accent 3"/>
    <w:basedOn w:val="699"/>
    <w:uiPriority w:val="99"/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28" w:customStyle="1">
    <w:name w:val="List Table 5 Dark - Accent 4"/>
    <w:basedOn w:val="699"/>
    <w:uiPriority w:val="99"/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29" w:customStyle="1">
    <w:name w:val="List Table 5 Dark - Accent 5"/>
    <w:basedOn w:val="699"/>
    <w:uiPriority w:val="99"/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0" w:customStyle="1">
    <w:name w:val="List Table 5 Dark - Accent 6"/>
    <w:basedOn w:val="699"/>
    <w:uiPriority w:val="99"/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1">
    <w:name w:val="List Table 6 Colorful"/>
    <w:basedOn w:val="699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2" w:customStyle="1">
    <w:name w:val="List Table 6 Colorful - Accent 1"/>
    <w:basedOn w:val="699"/>
    <w:uiPriority w:val="99"/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33" w:customStyle="1">
    <w:name w:val="List Table 6 Colorful - Accent 2"/>
    <w:basedOn w:val="699"/>
    <w:uiPriority w:val="99"/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34" w:customStyle="1">
    <w:name w:val="List Table 6 Colorful - Accent 3"/>
    <w:basedOn w:val="699"/>
    <w:uiPriority w:val="99"/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35" w:customStyle="1">
    <w:name w:val="List Table 6 Colorful - Accent 4"/>
    <w:basedOn w:val="699"/>
    <w:uiPriority w:val="99"/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36" w:customStyle="1">
    <w:name w:val="List Table 6 Colorful - Accent 5"/>
    <w:basedOn w:val="699"/>
    <w:uiPriority w:val="99"/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37" w:customStyle="1">
    <w:name w:val="List Table 6 Colorful - Accent 6"/>
    <w:basedOn w:val="699"/>
    <w:uiPriority w:val="99"/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38">
    <w:name w:val="List Table 7 Colorful"/>
    <w:basedOn w:val="699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List Table 7 Colorful - Accent 1"/>
    <w:basedOn w:val="699"/>
    <w:uiPriority w:val="99"/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rFonts w:ascii="Liberation Sans" w:hAnsi="Liberation Sans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7 Colorful - Accent 2"/>
    <w:basedOn w:val="699"/>
    <w:uiPriority w:val="99"/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7 Colorful - Accent 3"/>
    <w:basedOn w:val="699"/>
    <w:uiPriority w:val="99"/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7 Colorful - Accent 4"/>
    <w:basedOn w:val="699"/>
    <w:uiPriority w:val="99"/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7 Colorful - Accent 5"/>
    <w:basedOn w:val="699"/>
    <w:uiPriority w:val="99"/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7 Colorful - Accent 6"/>
    <w:basedOn w:val="699"/>
    <w:uiPriority w:val="99"/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ned - Accent"/>
    <w:basedOn w:val="69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6" w:customStyle="1">
    <w:name w:val="Lined - Accent 1"/>
    <w:basedOn w:val="69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47" w:customStyle="1">
    <w:name w:val="Lined - Accent 2"/>
    <w:basedOn w:val="69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48" w:customStyle="1">
    <w:name w:val="Lined - Accent 3"/>
    <w:basedOn w:val="69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49" w:customStyle="1">
    <w:name w:val="Lined - Accent 4"/>
    <w:basedOn w:val="69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50" w:customStyle="1">
    <w:name w:val="Lined - Accent 5"/>
    <w:basedOn w:val="69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51" w:customStyle="1">
    <w:name w:val="Lined - Accent 6"/>
    <w:basedOn w:val="69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52" w:customStyle="1">
    <w:name w:val="Bordered &amp; Lined - Accent"/>
    <w:basedOn w:val="699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3" w:customStyle="1">
    <w:name w:val="Bordered &amp; Lined - Accent 1"/>
    <w:basedOn w:val="699"/>
    <w:uiPriority w:val="99"/>
    <w:rPr>
      <w:color w:val="404040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54" w:customStyle="1">
    <w:name w:val="Bordered &amp; Lined - Accent 2"/>
    <w:basedOn w:val="699"/>
    <w:uiPriority w:val="99"/>
    <w:rPr>
      <w:color w:val="404040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55" w:customStyle="1">
    <w:name w:val="Bordered &amp; Lined - Accent 3"/>
    <w:basedOn w:val="699"/>
    <w:uiPriority w:val="99"/>
    <w:rPr>
      <w:color w:val="404040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56" w:customStyle="1">
    <w:name w:val="Bordered &amp; Lined - Accent 4"/>
    <w:basedOn w:val="699"/>
    <w:uiPriority w:val="99"/>
    <w:rPr>
      <w:color w:val="404040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57" w:customStyle="1">
    <w:name w:val="Bordered &amp; Lined - Accent 5"/>
    <w:basedOn w:val="699"/>
    <w:uiPriority w:val="99"/>
    <w:rPr>
      <w:color w:val="404040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58" w:customStyle="1">
    <w:name w:val="Bordered &amp; Lined - Accent 6"/>
    <w:basedOn w:val="699"/>
    <w:uiPriority w:val="99"/>
    <w:rPr>
      <w:color w:val="404040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59" w:customStyle="1">
    <w:name w:val="Bordered"/>
    <w:basedOn w:val="699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0" w:customStyle="1">
    <w:name w:val="Bordered - Accent 1"/>
    <w:basedOn w:val="699"/>
    <w:uiPriority w:val="99"/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61" w:customStyle="1">
    <w:name w:val="Bordered - Accent 2"/>
    <w:basedOn w:val="699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62" w:customStyle="1">
    <w:name w:val="Bordered - Accent 3"/>
    <w:basedOn w:val="699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63" w:customStyle="1">
    <w:name w:val="Bordered - Accent 4"/>
    <w:basedOn w:val="699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64" w:customStyle="1">
    <w:name w:val="Bordered - Accent 5"/>
    <w:basedOn w:val="699"/>
    <w:uiPriority w:val="99"/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65" w:customStyle="1">
    <w:name w:val="Bordered - Accent 6"/>
    <w:basedOn w:val="699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paragraph" w:styleId="866">
    <w:name w:val="footnote text"/>
    <w:basedOn w:val="688"/>
    <w:link w:val="867"/>
    <w:uiPriority w:val="99"/>
    <w:semiHidden/>
    <w:unhideWhenUsed/>
    <w:pPr>
      <w:spacing w:after="40" w:line="240" w:lineRule="auto"/>
    </w:pPr>
    <w:rPr>
      <w:sz w:val="18"/>
    </w:rPr>
  </w:style>
  <w:style w:type="character" w:styleId="867" w:customStyle="1">
    <w:name w:val="Текст сноски Знак"/>
    <w:link w:val="866"/>
    <w:uiPriority w:val="99"/>
    <w:rPr>
      <w:sz w:val="18"/>
    </w:rPr>
  </w:style>
  <w:style w:type="character" w:styleId="868">
    <w:name w:val="footnote reference"/>
    <w:basedOn w:val="698"/>
    <w:uiPriority w:val="99"/>
    <w:unhideWhenUsed/>
    <w:rPr>
      <w:vertAlign w:val="superscript"/>
    </w:rPr>
  </w:style>
  <w:style w:type="paragraph" w:styleId="869">
    <w:name w:val="endnote text"/>
    <w:basedOn w:val="688"/>
    <w:link w:val="870"/>
    <w:uiPriority w:val="99"/>
    <w:semiHidden/>
    <w:unhideWhenUsed/>
    <w:pPr>
      <w:spacing w:after="0" w:line="240" w:lineRule="auto"/>
    </w:pPr>
    <w:rPr>
      <w:sz w:val="20"/>
    </w:rPr>
  </w:style>
  <w:style w:type="character" w:styleId="870" w:customStyle="1">
    <w:name w:val="Текст концевой сноски Знак"/>
    <w:link w:val="869"/>
    <w:uiPriority w:val="99"/>
    <w:rPr>
      <w:sz w:val="20"/>
    </w:rPr>
  </w:style>
  <w:style w:type="character" w:styleId="871">
    <w:name w:val="endnote reference"/>
    <w:basedOn w:val="698"/>
    <w:uiPriority w:val="99"/>
    <w:semiHidden/>
    <w:unhideWhenUsed/>
    <w:rPr>
      <w:vertAlign w:val="superscript"/>
    </w:rPr>
  </w:style>
  <w:style w:type="paragraph" w:styleId="872">
    <w:name w:val="toc 1"/>
    <w:basedOn w:val="688"/>
    <w:next w:val="688"/>
    <w:uiPriority w:val="39"/>
    <w:unhideWhenUsed/>
    <w:pPr>
      <w:spacing w:after="57"/>
    </w:pPr>
  </w:style>
  <w:style w:type="paragraph" w:styleId="873">
    <w:name w:val="toc 2"/>
    <w:basedOn w:val="688"/>
    <w:next w:val="688"/>
    <w:uiPriority w:val="39"/>
    <w:unhideWhenUsed/>
    <w:pPr>
      <w:ind w:left="283"/>
      <w:spacing w:after="57"/>
    </w:pPr>
  </w:style>
  <w:style w:type="paragraph" w:styleId="874">
    <w:name w:val="toc 3"/>
    <w:basedOn w:val="688"/>
    <w:next w:val="688"/>
    <w:uiPriority w:val="39"/>
    <w:unhideWhenUsed/>
    <w:pPr>
      <w:ind w:left="567"/>
      <w:spacing w:after="57"/>
    </w:pPr>
  </w:style>
  <w:style w:type="paragraph" w:styleId="875">
    <w:name w:val="toc 4"/>
    <w:basedOn w:val="688"/>
    <w:next w:val="688"/>
    <w:uiPriority w:val="39"/>
    <w:unhideWhenUsed/>
    <w:pPr>
      <w:ind w:left="850"/>
      <w:spacing w:after="57"/>
    </w:pPr>
  </w:style>
  <w:style w:type="paragraph" w:styleId="876">
    <w:name w:val="toc 5"/>
    <w:basedOn w:val="688"/>
    <w:next w:val="688"/>
    <w:uiPriority w:val="39"/>
    <w:unhideWhenUsed/>
    <w:pPr>
      <w:ind w:left="1134"/>
      <w:spacing w:after="57"/>
    </w:pPr>
  </w:style>
  <w:style w:type="paragraph" w:styleId="877">
    <w:name w:val="toc 6"/>
    <w:basedOn w:val="688"/>
    <w:next w:val="688"/>
    <w:uiPriority w:val="39"/>
    <w:unhideWhenUsed/>
    <w:pPr>
      <w:ind w:left="1417"/>
      <w:spacing w:after="57"/>
    </w:pPr>
  </w:style>
  <w:style w:type="paragraph" w:styleId="878">
    <w:name w:val="toc 7"/>
    <w:basedOn w:val="688"/>
    <w:next w:val="688"/>
    <w:uiPriority w:val="39"/>
    <w:unhideWhenUsed/>
    <w:pPr>
      <w:ind w:left="1701"/>
      <w:spacing w:after="57"/>
    </w:pPr>
  </w:style>
  <w:style w:type="paragraph" w:styleId="879">
    <w:name w:val="toc 8"/>
    <w:basedOn w:val="688"/>
    <w:next w:val="688"/>
    <w:uiPriority w:val="39"/>
    <w:unhideWhenUsed/>
    <w:pPr>
      <w:ind w:left="1984"/>
      <w:spacing w:after="57"/>
    </w:pPr>
  </w:style>
  <w:style w:type="paragraph" w:styleId="880">
    <w:name w:val="toc 9"/>
    <w:basedOn w:val="688"/>
    <w:next w:val="688"/>
    <w:uiPriority w:val="39"/>
    <w:unhideWhenUsed/>
    <w:pPr>
      <w:ind w:left="2268"/>
      <w:spacing w:after="57"/>
    </w:pPr>
  </w:style>
  <w:style w:type="paragraph" w:styleId="881">
    <w:name w:val="TOC Heading"/>
    <w:uiPriority w:val="39"/>
    <w:unhideWhenUsed/>
  </w:style>
  <w:style w:type="paragraph" w:styleId="882">
    <w:name w:val="table of figures"/>
    <w:basedOn w:val="688"/>
    <w:next w:val="688"/>
    <w:uiPriority w:val="99"/>
    <w:unhideWhenUsed/>
    <w:pPr>
      <w:spacing w:after="0"/>
    </w:pPr>
  </w:style>
  <w:style w:type="paragraph" w:styleId="883" w:customStyle="1">
    <w:name w:val="bodytext"/>
    <w:basedOn w:val="68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884" w:customStyle="1">
    <w:name w:val="consplustitle"/>
    <w:basedOn w:val="68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885" w:customStyle="1">
    <w:name w:val="20"/>
    <w:basedOn w:val="698"/>
  </w:style>
  <w:style w:type="paragraph" w:styleId="886" w:customStyle="1">
    <w:name w:val="Без интервала1"/>
    <w:basedOn w:val="68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887" w:customStyle="1">
    <w:name w:val="Гиперссылка1"/>
    <w:basedOn w:val="698"/>
  </w:style>
  <w:style w:type="paragraph" w:styleId="888" w:customStyle="1">
    <w:name w:val="normalweb"/>
    <w:basedOn w:val="68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889" w:customStyle="1">
    <w:name w:val="Обычный (Интернет)"/>
    <w:basedOn w:val="688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890" w:customStyle="1">
    <w:name w:val="consplusnormal"/>
    <w:basedOn w:val="68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891">
    <w:name w:val="Hyperlink"/>
    <w:uiPriority w:val="99"/>
    <w:unhideWhenUsed/>
    <w:rPr>
      <w:color w:val="0563c1"/>
      <w:u w:val="single"/>
    </w:rPr>
  </w:style>
  <w:style w:type="paragraph" w:styleId="892">
    <w:name w:val="Balloon Text"/>
    <w:basedOn w:val="688"/>
    <w:link w:val="893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93" w:customStyle="1">
    <w:name w:val="Текст выноски Знак"/>
    <w:link w:val="892"/>
    <w:uiPriority w:val="99"/>
    <w:semiHidden/>
    <w:rPr>
      <w:rFonts w:ascii="Segoe UI" w:hAnsi="Segoe UI" w:cs="Segoe UI"/>
      <w:sz w:val="18"/>
      <w:szCs w:val="18"/>
    </w:rPr>
  </w:style>
  <w:style w:type="paragraph" w:styleId="894">
    <w:name w:val="Header"/>
    <w:basedOn w:val="688"/>
    <w:link w:val="895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95" w:customStyle="1">
    <w:name w:val="Верхний колонтитул Знак"/>
    <w:link w:val="894"/>
    <w:uiPriority w:val="99"/>
    <w:rPr>
      <w:sz w:val="22"/>
      <w:szCs w:val="22"/>
    </w:rPr>
  </w:style>
  <w:style w:type="paragraph" w:styleId="896">
    <w:name w:val="Footer"/>
    <w:basedOn w:val="688"/>
    <w:link w:val="897"/>
    <w:unhideWhenUsed/>
    <w:pPr>
      <w:tabs>
        <w:tab w:val="center" w:pos="4677" w:leader="none"/>
        <w:tab w:val="right" w:pos="9355" w:leader="none"/>
      </w:tabs>
    </w:pPr>
  </w:style>
  <w:style w:type="character" w:styleId="897" w:customStyle="1">
    <w:name w:val="Нижний колонтитул Знак"/>
    <w:link w:val="896"/>
    <w:rPr>
      <w:sz w:val="22"/>
      <w:szCs w:val="22"/>
    </w:rPr>
  </w:style>
  <w:style w:type="paragraph" w:styleId="898" w:customStyle="1">
    <w:name w:val="docdata"/>
    <w:basedOn w:val="68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market</dc:creator>
  <cp:keywords/>
  <dc:description/>
  <cp:lastModifiedBy>Trofimova</cp:lastModifiedBy>
  <cp:revision>54</cp:revision>
  <dcterms:created xsi:type="dcterms:W3CDTF">2026-01-16T05:03:00Z</dcterms:created>
  <dcterms:modified xsi:type="dcterms:W3CDTF">2026-07-27T07:20:14Z</dcterms:modified>
</cp:coreProperties>
</file>