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3685" w:type="dxa"/>
        <w:tblInd w:w="11307" w:type="dxa"/>
        <w:tblLayout w:type="fixed"/>
        <w:tblLook w:val="04A0" w:firstRow="1" w:lastRow="0" w:firstColumn="1" w:lastColumn="0" w:noHBand="0" w:noVBand="1"/>
      </w:tblPr>
      <w:tblGrid>
        <w:gridCol w:w="3685"/>
      </w:tblGrid>
      <w:tr>
        <w:tblPrEx/>
        <w:trPr>
          <w:trHeight w:val="1211"/>
        </w:trPr>
        <w:tc>
          <w:tcPr>
            <w:shd w:val="clear" w:color="auto" w:fill="auto"/>
            <w:tcW w:w="3685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tabs>
                <w:tab w:val="center" w:pos="4677" w:leader="none"/>
                <w:tab w:val="right" w:pos="9355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ru-RU"/>
              </w:rPr>
              <w:t xml:space="preserve">Приложение 12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tabs>
                <w:tab w:val="center" w:pos="4677" w:leader="none"/>
                <w:tab w:val="right" w:pos="9355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ru-RU"/>
              </w:rPr>
              <w:t xml:space="preserve">к постановлению 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tabs>
                <w:tab w:val="center" w:pos="4677" w:leader="none"/>
                <w:tab w:val="right" w:pos="9355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ru-RU"/>
              </w:rPr>
              <w:t xml:space="preserve">Администрации ЗАТО Северск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01"/>
              <w:jc w:val="both"/>
              <w:rPr>
                <w:rFonts w:ascii="PT Astra Serif" w:hAnsi="PT Astra Serif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от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_29.07.2026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__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___1537-па___</w:t>
            </w:r>
            <w:r/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none"/>
              </w:rPr>
            </w:r>
          </w:p>
          <w:p>
            <w:pPr>
              <w:pStyle w:val="901"/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</w:tbl>
    <w:p>
      <w:pPr>
        <w:pStyle w:val="901"/>
        <w:jc w:val="both"/>
        <w:rPr>
          <w:rFonts w:ascii="PT Astra Serif" w:hAnsi="PT Astra Serif" w:cs="PT Astra Serif"/>
          <w:color w:val="000000" w:themeColor="text1"/>
          <w:sz w:val="20"/>
          <w:szCs w:val="20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0"/>
          <w:szCs w:val="20"/>
        </w:rPr>
      </w:r>
      <w:r>
        <w:rPr>
          <w:rFonts w:ascii="PT Astra Serif" w:hAnsi="PT Astra Serif" w:cs="PT Astra Serif"/>
          <w:color w:val="000000" w:themeColor="text1"/>
          <w:sz w:val="20"/>
          <w:szCs w:val="20"/>
        </w:rPr>
      </w:r>
    </w:p>
    <w:tbl>
      <w:tblPr>
        <w:tblStyle w:val="757"/>
        <w:tblW w:w="14926" w:type="dxa"/>
        <w:tblInd w:w="-186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753"/>
        <w:gridCol w:w="1984"/>
        <w:gridCol w:w="992"/>
        <w:gridCol w:w="1448"/>
        <w:gridCol w:w="948"/>
        <w:gridCol w:w="763"/>
        <w:gridCol w:w="1376"/>
        <w:gridCol w:w="709"/>
        <w:gridCol w:w="1306"/>
        <w:gridCol w:w="3513"/>
        <w:gridCol w:w="1134"/>
      </w:tblGrid>
      <w:tr>
        <w:tblPrEx/>
        <w:trPr>
          <w:trHeight w:val="18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53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«2.1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vMerge w:val="restart"/>
            <w:textDirection w:val="lrTb"/>
            <w:noWrap w:val="false"/>
          </w:tcPr>
          <w:p>
            <w:pPr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КПМ «Уплата в федеральный бюджет налога на добавленную стоимость (НДС) с доходов, полученных от реализации и использования имущества, составляющего муниципальную казну ЗАТО Северск»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8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4 991,36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48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6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4 991,36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ind w:right="-15"/>
              <w:jc w:val="right"/>
              <w:spacing w:line="57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06" w:type="dxa"/>
            <w:vMerge w:val="restart"/>
            <w:textDirection w:val="lrTb"/>
            <w:noWrap w:val="false"/>
          </w:tcPr>
          <w:p>
            <w:pPr>
              <w:contextualSpacing w:val="0"/>
              <w:jc w:val="lef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pacing w:val="-6"/>
                <w:sz w:val="24"/>
                <w:szCs w:val="24"/>
              </w:rPr>
              <w:t xml:space="preserve">Управ-</w:t>
            </w:r>
            <w:r>
              <w:rPr>
                <w:rFonts w:ascii="PT Astra Serif" w:hAnsi="PT Astra Serif" w:eastAsia="PT Astra Serif" w:cs="PT Astra Serif"/>
                <w:color w:val="000000"/>
                <w:spacing w:val="-6"/>
                <w:sz w:val="24"/>
                <w:szCs w:val="24"/>
              </w:rPr>
              <w:t xml:space="preserve">ление</w:t>
            </w:r>
            <w:r>
              <w:rPr>
                <w:rFonts w:ascii="PT Astra Serif" w:hAnsi="PT Astra Serif" w:eastAsia="PT Astra Serif" w:cs="PT Astra Serif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имущест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-венных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отноше-ний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Адми-нистра-ции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13" w:type="dxa"/>
            <w:textDirection w:val="lrTb"/>
            <w:noWrap w:val="false"/>
          </w:tcPr>
          <w:p>
            <w:pPr>
              <w:ind w:left="57" w:right="0"/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36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  <w:tcW w:w="75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2025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8" w:type="dxa"/>
            <w:vMerge w:val="restart"/>
            <w:textDirection w:val="lrTb"/>
            <w:noWrap w:val="false"/>
          </w:tcPr>
          <w:p>
            <w:pPr>
              <w:jc w:val="right"/>
              <w:tabs>
                <w:tab w:val="left" w:pos="0" w:leader="none"/>
              </w:tabs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1 335,18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4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63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1 335,18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Merge w:val="restart"/>
            <w:textDirection w:val="lrTb"/>
            <w:noWrap w:val="false"/>
          </w:tcPr>
          <w:p>
            <w:pPr>
              <w:jc w:val="right"/>
              <w:tabs>
                <w:tab w:val="left" w:pos="0" w:leader="none"/>
              </w:tabs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13" w:type="dxa"/>
            <w:textDirection w:val="lrTb"/>
            <w:noWrap w:val="false"/>
          </w:tcPr>
          <w:p>
            <w:pPr>
              <w:ind w:left="57" w:right="0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1. Количество объектов недвижимого и движимого имущества, проданных физическим лицам, не зарегистрированным в качестве индивидуальных предпринимателей,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ind w:left="0" w:right="0" w:firstLine="0"/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11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  <w:tcW w:w="75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48" w:type="dxa"/>
            <w:vMerge w:val="continue"/>
            <w:textDirection w:val="lrTb"/>
            <w:noWrap w:val="false"/>
          </w:tcPr>
          <w:p>
            <w:pPr>
              <w:tabs>
                <w:tab w:val="left" w:pos="977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4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76" w:type="dxa"/>
            <w:vMerge w:val="continue"/>
            <w:textDirection w:val="lrTb"/>
            <w:noWrap w:val="false"/>
          </w:tcPr>
          <w:p>
            <w:pPr>
              <w:ind w:right="12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13" w:type="dxa"/>
            <w:textDirection w:val="lrTb"/>
            <w:noWrap w:val="false"/>
          </w:tcPr>
          <w:p>
            <w:pPr>
              <w:contextualSpacing w:val="0"/>
              <w:ind w:left="57" w:right="0"/>
              <w:jc w:val="lef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2. Доходы от приватизации </w:t>
            </w:r>
            <w:r>
              <w:rPr>
                <w:rFonts w:ascii="PT Astra Serif" w:hAnsi="PT Astra Serif" w:eastAsia="PT Astra Serif" w:cs="PT Astra Serif"/>
                <w:color w:val="000000"/>
                <w:spacing w:val="-6"/>
                <w:sz w:val="24"/>
                <w:szCs w:val="24"/>
              </w:rPr>
              <w:t xml:space="preserve">и использования муниципального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 имущества ЗАТО Северск, облагаемые НДС,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тыс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руб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ind w:left="0" w:right="0" w:firstLine="0"/>
              <w:jc w:val="right"/>
              <w:spacing w:line="57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8011,05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138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  <w:tcW w:w="75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2026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48" w:type="dxa"/>
            <w:vMerge w:val="restart"/>
            <w:textDirection w:val="lrTb"/>
            <w:noWrap w:val="false"/>
          </w:tcPr>
          <w:p>
            <w:pPr>
              <w:ind w:right="-115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1 958,58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48" w:type="dxa"/>
            <w:vMerge w:val="restart"/>
            <w:textDirection w:val="lrTb"/>
            <w:noWrap w:val="false"/>
          </w:tcPr>
          <w:p>
            <w:pPr>
              <w:ind w:right="-111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3" w:type="dxa"/>
            <w:vMerge w:val="restart"/>
            <w:textDirection w:val="lrTb"/>
            <w:noWrap w:val="false"/>
          </w:tcPr>
          <w:p>
            <w:pPr>
              <w:ind w:right="-1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76" w:type="dxa"/>
            <w:vMerge w:val="restart"/>
            <w:textDirection w:val="lrTb"/>
            <w:noWrap w:val="false"/>
          </w:tcPr>
          <w:p>
            <w:pPr>
              <w:ind w:right="-108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1 958,58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ind w:right="-105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13" w:type="dxa"/>
            <w:textDirection w:val="lrTb"/>
            <w:noWrap w:val="false"/>
          </w:tcPr>
          <w:p>
            <w:pPr>
              <w:ind w:left="57" w:right="0"/>
              <w:spacing w:line="57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1. Количество объектов недвижимого и движимого имущества, проданных физическим лицам, не зарегистрированным в качестве индивидуальных предпринимателей,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4" w:space="0"/>
              <w:bottom w:val="single" w:color="auto" w:sz="4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ind w:left="0" w:right="0" w:firstLine="0"/>
              <w:jc w:val="right"/>
              <w:spacing w:line="57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  <w:p>
            <w:pPr>
              <w:ind w:left="0" w:right="0" w:firstLine="0"/>
              <w:jc w:val="right"/>
              <w:spacing w:line="57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123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  <w:tcW w:w="75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48" w:type="dxa"/>
            <w:vMerge w:val="continue"/>
            <w:textDirection w:val="lrTb"/>
            <w:noWrap w:val="false"/>
          </w:tcPr>
          <w:p>
            <w:pPr>
              <w:ind w:right="-9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4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76" w:type="dxa"/>
            <w:vMerge w:val="continue"/>
            <w:textDirection w:val="lrTb"/>
            <w:noWrap w:val="false"/>
          </w:tcPr>
          <w:p>
            <w:pPr>
              <w:ind w:right="12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13" w:type="dxa"/>
            <w:textDirection w:val="lrTb"/>
            <w:noWrap w:val="false"/>
          </w:tcPr>
          <w:p>
            <w:pPr>
              <w:contextualSpacing w:val="0"/>
              <w:ind w:left="57" w:right="0"/>
              <w:jc w:val="lef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2. Доходы от приватизации </w:t>
            </w:r>
            <w:r>
              <w:rPr>
                <w:rFonts w:ascii="PT Astra Serif" w:hAnsi="PT Astra Serif" w:eastAsia="PT Astra Serif" w:cs="PT Astra Serif"/>
                <w:color w:val="000000"/>
                <w:spacing w:val="-6"/>
                <w:sz w:val="24"/>
                <w:szCs w:val="24"/>
              </w:rPr>
              <w:t xml:space="preserve">и использования муниципального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 имущества ЗАТО Северск, облагаемые НДС,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тыс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руб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ind w:left="0" w:right="0" w:firstLine="0"/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10185,59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56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  <w:tcW w:w="75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4" w:space="0"/>
              <w:bottom w:val="single" w:color="auto" w:sz="4" w:space="0"/>
              <w:right w:val="single" w:color="000000" w:sz="6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2027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448" w:type="dxa"/>
            <w:vMerge w:val="restart"/>
            <w:textDirection w:val="lrTb"/>
            <w:noWrap w:val="false"/>
          </w:tcPr>
          <w:p>
            <w:pPr>
              <w:ind w:right="-115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1 697,60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948" w:type="dxa"/>
            <w:vMerge w:val="restart"/>
            <w:textDirection w:val="lrTb"/>
            <w:noWrap w:val="false"/>
          </w:tcPr>
          <w:p>
            <w:pPr>
              <w:ind w:right="-111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763" w:type="dxa"/>
            <w:vMerge w:val="restart"/>
            <w:textDirection w:val="lrTb"/>
            <w:noWrap w:val="false"/>
          </w:tcPr>
          <w:p>
            <w:pPr>
              <w:ind w:right="-114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376" w:type="dxa"/>
            <w:vMerge w:val="restart"/>
            <w:textDirection w:val="lrTb"/>
            <w:noWrap w:val="false"/>
          </w:tcPr>
          <w:p>
            <w:pPr>
              <w:ind w:right="-108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1 697,60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ind w:right="-105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13" w:type="dxa"/>
            <w:textDirection w:val="lrTb"/>
            <w:noWrap w:val="false"/>
          </w:tcPr>
          <w:p>
            <w:pPr>
              <w:ind w:left="57" w:right="0"/>
              <w:spacing w:line="57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1. Количество объектов недвижимого и движимого имущества, проданных физическим лицам, не зарегистрированным в качестве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индивидуальных предпринимателей,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ind w:left="0" w:right="0" w:firstLine="0"/>
              <w:jc w:val="right"/>
              <w:spacing w:line="57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26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  <w:tcW w:w="75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8" w:type="dxa"/>
            <w:vMerge w:val="continue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48" w:type="dxa"/>
            <w:vMerge w:val="continue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63" w:type="dxa"/>
            <w:vMerge w:val="continue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76" w:type="dxa"/>
            <w:vMerge w:val="continue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Merge w:val="continue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13" w:type="dxa"/>
            <w:textDirection w:val="lrTb"/>
            <w:noWrap w:val="false"/>
          </w:tcPr>
          <w:p>
            <w:pPr>
              <w:contextualSpacing w:val="0"/>
              <w:ind w:left="57" w:right="0"/>
              <w:jc w:val="lef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2. Доходы от приватизации </w:t>
            </w:r>
            <w:r>
              <w:rPr>
                <w:rFonts w:ascii="PT Astra Serif" w:hAnsi="PT Astra Serif" w:eastAsia="PT Astra Serif" w:cs="PT Astra Serif"/>
                <w:color w:val="000000"/>
                <w:spacing w:val="-6"/>
                <w:sz w:val="24"/>
                <w:szCs w:val="24"/>
              </w:rPr>
              <w:t xml:space="preserve">и использования муниципального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 имущества ЗАТО Северск, облагаемые НДС,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тыс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руб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10185,59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40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  <w:tcW w:w="75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2028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  <w:p>
            <w:pPr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(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прог-нозный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 период)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8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1 697,60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48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63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7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1 697,60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13" w:type="dxa"/>
            <w:textDirection w:val="lrTb"/>
            <w:noWrap w:val="false"/>
          </w:tcPr>
          <w:p>
            <w:pPr>
              <w:ind w:left="57" w:right="0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1. Количество объектов недвижимого и движимого имущества, проданных физическим лицам, не зарегистрированным в качестве индивидуальных предпринимателей,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12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4" w:space="0"/>
            </w:tcBorders>
            <w:tcW w:w="75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4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6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7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13" w:type="dxa"/>
            <w:textDirection w:val="lrTb"/>
            <w:noWrap w:val="false"/>
          </w:tcPr>
          <w:p>
            <w:pPr>
              <w:contextualSpacing w:val="0"/>
              <w:ind w:left="57" w:right="0"/>
              <w:jc w:val="lef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2. Доходы от приватизации </w:t>
            </w:r>
            <w:r>
              <w:rPr>
                <w:rFonts w:ascii="PT Astra Serif" w:hAnsi="PT Astra Serif" w:eastAsia="PT Astra Serif" w:cs="PT Astra Serif"/>
                <w:color w:val="000000"/>
                <w:spacing w:val="-6"/>
                <w:sz w:val="24"/>
                <w:szCs w:val="24"/>
              </w:rPr>
              <w:t xml:space="preserve">и использования муниципального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 имущества ЗАТО Северск, облагаемые НДС,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тыс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руб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10185,59»;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0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53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vMerge w:val="restart"/>
            <w:textDirection w:val="lrTb"/>
            <w:noWrap w:val="false"/>
          </w:tcPr>
          <w:p>
            <w:pPr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«Итого по подпрограмме 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8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12 682,51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48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63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12 682,51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06" w:type="dxa"/>
            <w:vMerge w:val="restart"/>
            <w:textDirection w:val="lrTb"/>
            <w:noWrap w:val="false"/>
          </w:tcPr>
          <w:p>
            <w:pPr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13" w:type="dxa"/>
            <w:textDirection w:val="lrTb"/>
            <w:noWrap w:val="false"/>
          </w:tcPr>
          <w:p>
            <w:pPr>
              <w:ind w:left="57" w:right="0"/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79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2025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8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3 014,83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48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63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7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3 014,83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0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13" w:type="dxa"/>
            <w:textDirection w:val="lrTb"/>
            <w:noWrap w:val="false"/>
          </w:tcPr>
          <w:p>
            <w:pPr>
              <w:ind w:left="57" w:right="0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1. Количество объектов недвижимого имущества, переданных в оперативное управление за год,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43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8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4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6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7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0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13" w:type="dxa"/>
            <w:textDirection w:val="lrTb"/>
            <w:noWrap w:val="false"/>
          </w:tcPr>
          <w:p>
            <w:pPr>
              <w:ind w:left="57" w:right="0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2. Площадь земельных участков, являющихся объектами налогообложения земельным налогом (находящихся в собственности, владении или пользовании юридических и физических лиц), га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6572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8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2026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8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4 964,33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48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63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7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4 964,33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0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13" w:type="dxa"/>
            <w:textDirection w:val="lrTb"/>
            <w:noWrap w:val="false"/>
          </w:tcPr>
          <w:p>
            <w:pPr>
              <w:ind w:left="57" w:right="0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1. Количество объектов недвижимого имущества, переданных в оперативное управление за год,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40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auto" w:sz="4" w:space="0"/>
              <w:bottom w:val="single" w:color="auto" w:sz="4" w:space="0"/>
              <w:right w:val="single" w:color="000000" w:sz="6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44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94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76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37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30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auto" w:sz="4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13" w:type="dxa"/>
            <w:textDirection w:val="lrTb"/>
            <w:noWrap w:val="false"/>
          </w:tcPr>
          <w:p>
            <w:pPr>
              <w:ind w:left="57" w:right="0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2. Площадь земельных участков, являющихся объектами налогообложения земельным налогом (находящихся в собственности, владении или пользовании юридических и физических лиц), га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auto" w:sz="4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6574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68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2027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8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4 703,35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48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63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7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4 703,35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13" w:type="dxa"/>
            <w:textDirection w:val="lrTb"/>
            <w:noWrap w:val="false"/>
          </w:tcPr>
          <w:p>
            <w:pPr>
              <w:ind w:left="57" w:right="0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1. Количество объектов недвижимого имущества, переданных в оперативное управление за год,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53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8" w:type="dxa"/>
            <w:vMerge w:val="continue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48" w:type="dxa"/>
            <w:vMerge w:val="continue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63" w:type="dxa"/>
            <w:vMerge w:val="continue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76" w:type="dxa"/>
            <w:vMerge w:val="continue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Merge w:val="continue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13" w:type="dxa"/>
            <w:textDirection w:val="lrTb"/>
            <w:noWrap w:val="false"/>
          </w:tcPr>
          <w:p>
            <w:pPr>
              <w:ind w:left="57" w:right="0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2. Площадь земельных участков, являющихся объектами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налогообложения земельным налогом (находящихся в собственности, владении или пользовании юридических и физических лиц), га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6577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82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2028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  <w:p>
            <w:pPr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(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прог-нозный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 период)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8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4 703,35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48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63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7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4 703,35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0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13" w:type="dxa"/>
            <w:textDirection w:val="lrTb"/>
            <w:noWrap w:val="false"/>
          </w:tcPr>
          <w:p>
            <w:pPr>
              <w:ind w:left="57" w:right="0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1. Количество объектов недвижимого имущества, переданных в оперативное управление за год,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85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5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8" w:type="dxa"/>
            <w:vMerge w:val="continue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48" w:type="dxa"/>
            <w:vMerge w:val="continue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63" w:type="dxa"/>
            <w:vMerge w:val="continue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76" w:type="dxa"/>
            <w:vMerge w:val="continue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Merge w:val="continue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0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13" w:type="dxa"/>
            <w:vMerge w:val="restart"/>
            <w:textDirection w:val="lrTb"/>
            <w:noWrap w:val="false"/>
          </w:tcPr>
          <w:p>
            <w:pPr>
              <w:ind w:left="57" w:right="0"/>
              <w:spacing w:line="57" w:lineRule="atLeast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2. Площадь земельных участков, являющихся объектами налогообложения земельным налогом (находящихся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в собственности, владении или пользовании юридических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</w:p>
          <w:p>
            <w:pPr>
              <w:ind w:left="57" w:right="0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и физических лиц), га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6577»;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</w:p>
          <w:p>
            <w:pPr>
              <w:jc w:val="right"/>
              <w:spacing w:line="57" w:lineRule="atLeast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none"/>
              </w:rPr>
            </w:r>
          </w:p>
        </w:tc>
      </w:tr>
      <w:tr>
        <w:tblPrEx/>
        <w:trPr>
          <w:trHeight w:val="208"/>
        </w:trPr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53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«3.1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left w:w="96" w:type="dxa"/>
              <w:top w:w="15" w:type="dxa"/>
              <w:right w:w="15" w:type="dxa"/>
              <w:bottom w:w="0" w:type="dxa"/>
            </w:tcMar>
            <w:tcW w:w="1984" w:type="dxa"/>
            <w:vMerge w:val="restart"/>
            <w:textDirection w:val="lrTb"/>
            <w:noWrap w:val="false"/>
          </w:tcPr>
          <w:p>
            <w:pPr>
              <w:contextualSpacing w:val="0"/>
              <w:jc w:val="lef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Проект «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Капитальный ремонт нежилых </w:t>
            </w:r>
            <w:r>
              <w:rPr>
                <w:rFonts w:ascii="PT Astra Serif" w:hAnsi="PT Astra Serif" w:eastAsia="PT Astra Serif" w:cs="PT Astra Serif"/>
                <w:color w:val="000000"/>
                <w:spacing w:val="-6"/>
                <w:sz w:val="24"/>
                <w:szCs w:val="24"/>
              </w:rPr>
              <w:t xml:space="preserve">объектов административно-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 хозяйственного назначения» (с 01.01.2026)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auto" w:sz="4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auto" w:sz="4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14 693,67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auto" w:sz="4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4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auto" w:sz="4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6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auto" w:sz="4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14 693,67</w:t>
            </w:r>
            <w:r/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auto" w:sz="4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left w:w="57" w:type="dxa"/>
              <w:top w:w="15" w:type="dxa"/>
              <w:right w:w="15" w:type="dxa"/>
              <w:bottom w:w="0" w:type="dxa"/>
            </w:tcMar>
            <w:tcW w:w="1306" w:type="dxa"/>
            <w:vMerge w:val="restart"/>
            <w:textDirection w:val="lrTb"/>
            <w:noWrap w:val="false"/>
          </w:tcPr>
          <w:p>
            <w:pPr>
              <w:spacing w:line="57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УКС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Адми-нистрации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 ЗАТО Северск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auto" w:sz="4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13" w:type="dxa"/>
            <w:textDirection w:val="lrTb"/>
            <w:noWrap w:val="false"/>
          </w:tcPr>
          <w:p>
            <w:pPr>
              <w:ind w:left="57" w:right="0"/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auto" w:sz="4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69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75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2026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8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15 292,67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&lt;*&gt;</w:t>
            </w:r>
            <w:r/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48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6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15 292,67 &lt;*&gt;</w:t>
            </w:r>
            <w:r/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0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13" w:type="dxa"/>
            <w:textDirection w:val="lrTb"/>
            <w:noWrap w:val="false"/>
          </w:tcPr>
          <w:p>
            <w:pPr>
              <w:ind w:left="57" w:right="0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1. Количество утвержденной и проверенной проектно-сметной документации по итогам обследований,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54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75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4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6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7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0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13" w:type="dxa"/>
            <w:textDirection w:val="lrTb"/>
            <w:noWrap w:val="false"/>
          </w:tcPr>
          <w:p>
            <w:pPr>
              <w:ind w:left="57" w:right="0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2. Количество выполненных капитальных ремонтов,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06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75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2027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8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48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63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7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0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13" w:type="dxa"/>
            <w:textDirection w:val="lrTb"/>
            <w:noWrap w:val="false"/>
          </w:tcPr>
          <w:p>
            <w:pPr>
              <w:ind w:left="57" w:right="0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1. Количество утвержденной и 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проверенной проектно-сметной документации по итогам обследований,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55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75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4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6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7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0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13" w:type="dxa"/>
            <w:textDirection w:val="lrTb"/>
            <w:noWrap w:val="false"/>
          </w:tcPr>
          <w:p>
            <w:pPr>
              <w:ind w:left="57" w:right="0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2. Количество выполненных капитальных ремонтов,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11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75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2028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  <w:p>
            <w:pPr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(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прог-нозный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 период)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8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48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63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7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auto" w:sz="4" w:space="0"/>
            </w:tcBorders>
            <w:tcW w:w="130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13" w:type="dxa"/>
            <w:textDirection w:val="lrTb"/>
            <w:noWrap w:val="false"/>
          </w:tcPr>
          <w:p>
            <w:pPr>
              <w:ind w:left="57" w:right="0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1. Количество утвержденной и 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проверенной проектно-сметной документации по итогам обследований,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56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75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44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94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76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37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auto" w:sz="4" w:space="0"/>
            </w:tcBorders>
            <w:tcW w:w="130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13" w:type="dxa"/>
            <w:textDirection w:val="lrTb"/>
            <w:noWrap w:val="false"/>
          </w:tcPr>
          <w:p>
            <w:pPr>
              <w:ind w:left="57" w:right="0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2. Количество выполненных капитальных ремонтов,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5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53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984" w:type="dxa"/>
            <w:vMerge w:val="restart"/>
            <w:textDirection w:val="lrTb"/>
            <w:noWrap w:val="false"/>
          </w:tcPr>
          <w:p>
            <w:pPr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Итого по подпрограмме 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163 083,80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4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6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163 083,80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06" w:type="dxa"/>
            <w:vMerge w:val="restart"/>
            <w:textDirection w:val="lrTb"/>
            <w:noWrap w:val="false"/>
          </w:tcPr>
          <w:p>
            <w:pPr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13" w:type="dxa"/>
            <w:textDirection w:val="lrTb"/>
            <w:noWrap w:val="false"/>
          </w:tcPr>
          <w:p>
            <w:pPr>
              <w:ind w:left="57" w:right="0"/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35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2025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8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26 666,40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48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63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7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26 666,40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13" w:type="dxa"/>
            <w:textDirection w:val="lrTb"/>
            <w:noWrap w:val="false"/>
          </w:tcPr>
          <w:p>
            <w:pPr>
              <w:ind w:left="57" w:right="0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1. Количество объектов муниципальной собственности, по которым осуществляются расходы на содержание и обслуживание имущества,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8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48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48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3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76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13" w:type="dxa"/>
            <w:textDirection w:val="lrTb"/>
            <w:noWrap w:val="false"/>
          </w:tcPr>
          <w:p>
            <w:pPr>
              <w:ind w:left="57" w:right="0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2. Количество объектов муниципального нежилого фонда, по 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которым начислена (произведена) оплата взносов на капитальный ремонт региональному оператору,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93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82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48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48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3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76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13" w:type="dxa"/>
            <w:textDirection w:val="lrTb"/>
            <w:noWrap w:val="false"/>
          </w:tcPr>
          <w:p>
            <w:pPr>
              <w:ind w:left="57" w:right="0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3. Количество объектов муниципальной собственности, введенных в эксплуатацию,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2026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8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84 196,78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&lt;*&gt;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48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6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84 196,78 &lt;*&gt;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13" w:type="dxa"/>
            <w:textDirection w:val="lrTb"/>
            <w:noWrap w:val="false"/>
          </w:tcPr>
          <w:p>
            <w:pPr>
              <w:ind w:left="57" w:right="0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1. Количество объектов муниципальной собственности, по 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которым осуществляются расходы на содержание и обслуживание имущества,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34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40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48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48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3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76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13" w:type="dxa"/>
            <w:textDirection w:val="lrTb"/>
            <w:noWrap w:val="false"/>
          </w:tcPr>
          <w:p>
            <w:pPr>
              <w:ind w:left="57" w:right="0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2. Количество объектов муниципального нежилого фонда, по 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которым начислена (произведена) оплата взносов на капитальный ремонт региональному оператору,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56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2027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8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52 819,62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48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63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7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52 819,62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13" w:type="dxa"/>
            <w:textDirection w:val="lrTb"/>
            <w:noWrap w:val="false"/>
          </w:tcPr>
          <w:p>
            <w:pPr>
              <w:ind w:left="57" w:right="0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1. Количество объектов муниципальной собственности, по 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которым осуществляются расходы на содержание и обслуживание имущества,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70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4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4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7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13" w:type="dxa"/>
            <w:textDirection w:val="lrTb"/>
            <w:noWrap w:val="false"/>
          </w:tcPr>
          <w:p>
            <w:pPr>
              <w:ind w:left="57" w:right="0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2. Количество объектов муниципального нежилого фонда, по 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которым начислена (произведена) оплата взносов на капитальный ремонт региональному оператору,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39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2028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  <w:p>
            <w:pPr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(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прог-нозный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 период)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8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52 819,62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48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63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7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52 819,62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0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13" w:type="dxa"/>
            <w:textDirection w:val="lrTb"/>
            <w:noWrap w:val="false"/>
          </w:tcPr>
          <w:p>
            <w:pPr>
              <w:ind w:left="57" w:right="0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1. Количество объектов муниципальной собственности, по которым осуществляются расходы на содержание и обслуживание имущества,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67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5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8" w:type="dxa"/>
            <w:vMerge w:val="continue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48" w:type="dxa"/>
            <w:vMerge w:val="continue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63" w:type="dxa"/>
            <w:vMerge w:val="continue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76" w:type="dxa"/>
            <w:vMerge w:val="continue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Merge w:val="continue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0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13" w:type="dxa"/>
            <w:vMerge w:val="restart"/>
            <w:textDirection w:val="lrTb"/>
            <w:noWrap w:val="false"/>
          </w:tcPr>
          <w:p>
            <w:pPr>
              <w:ind w:left="57" w:right="0"/>
              <w:spacing w:line="57" w:lineRule="atLeast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2. Количество объектов муниципального нежилого фонда, по 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которым начислена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</w:p>
          <w:p>
            <w:pPr>
              <w:ind w:left="57" w:right="0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(произведена) оплата взносов на капитальный ремонт региональному оператору,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100»;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</w:p>
          <w:p>
            <w:pPr>
              <w:jc w:val="right"/>
              <w:spacing w:line="57" w:lineRule="atLeast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none"/>
              </w:rPr>
            </w:r>
          </w:p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4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53" w:type="dxa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57" w:type="dxa"/>
              <w:top w:w="15" w:type="dxa"/>
              <w:right w:w="15" w:type="dxa"/>
              <w:bottom w:w="0" w:type="dxa"/>
            </w:tcMar>
            <w:tcW w:w="1984" w:type="dxa"/>
            <w:vMerge w:val="restart"/>
            <w:textDirection w:val="lrTb"/>
            <w:noWrap w:val="false"/>
          </w:tcPr>
          <w:p>
            <w:pPr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«Итого     по Программе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456 865,91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4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104,30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6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456 761,61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06" w:type="dxa"/>
            <w:vMerge w:val="restart"/>
            <w:textDirection w:val="lrTb"/>
            <w:noWrap w:val="false"/>
          </w:tcPr>
          <w:p>
            <w:pPr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13" w:type="dxa"/>
            <w:textDirection w:val="lrTb"/>
            <w:noWrap w:val="false"/>
          </w:tcPr>
          <w:p>
            <w:pPr>
              <w:ind w:left="57" w:right="0"/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X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85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2025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8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120 666,89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48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104,30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6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120 562,59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13" w:type="dxa"/>
            <w:textDirection w:val="lrTb"/>
            <w:noWrap w:val="false"/>
          </w:tcPr>
          <w:p>
            <w:pPr>
              <w:ind w:left="57" w:right="0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1. Доля объектов недвижимости, прошедших государственную регистрацию права собственности, от общего количества объектов недвижимости, числящихся в Реестре муниципального имущества ЗАТО Северск и подлежащих регистрации,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проц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93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38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8" w:type="dxa"/>
            <w:vMerge w:val="continue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48" w:type="dxa"/>
            <w:vMerge w:val="continue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63" w:type="dxa"/>
            <w:vMerge w:val="continue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76" w:type="dxa"/>
            <w:vMerge w:val="continue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Merge w:val="continue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13" w:type="dxa"/>
            <w:textDirection w:val="lrTb"/>
            <w:noWrap w:val="false"/>
          </w:tcPr>
          <w:p>
            <w:pPr>
              <w:ind w:left="57" w:right="0"/>
              <w:spacing w:line="57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2. Доля площади земельных участков, являющихся объектами налогообложения земельным налогом, в общей площади территории городского округа,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проц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54,26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1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8" w:type="dxa"/>
            <w:vMerge w:val="continue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48" w:type="dxa"/>
            <w:vMerge w:val="continue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63" w:type="dxa"/>
            <w:vMerge w:val="continue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76" w:type="dxa"/>
            <w:vMerge w:val="continue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Merge w:val="continue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13" w:type="dxa"/>
            <w:textDirection w:val="lrTb"/>
            <w:noWrap w:val="false"/>
          </w:tcPr>
          <w:p>
            <w:pPr>
              <w:ind w:left="57" w:right="0"/>
              <w:spacing w:line="57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3. Снижение задолженности по арендной плате за пользование земельными участками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и муниципальным имуществом по сравнению с 1 января предыдущего года,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проц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51"/>
        </w:trPr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75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44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94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76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37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30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13" w:type="dxa"/>
            <w:textDirection w:val="lrTb"/>
            <w:noWrap w:val="false"/>
          </w:tcPr>
          <w:p>
            <w:pPr>
              <w:ind w:left="57" w:right="0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4. Объем воспроизводства лесов, га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8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75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2026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8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189 400,50 &lt;*&gt;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48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6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189 400,50 &lt;*&gt;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13" w:type="dxa"/>
            <w:textDirection w:val="lrTb"/>
            <w:noWrap w:val="false"/>
          </w:tcPr>
          <w:p>
            <w:pPr>
              <w:ind w:left="57" w:right="0"/>
              <w:spacing w:line="57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1. Доля объектов недвижимости, прошедших государственную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регистрацию права собственнос-ти, от общего количества объектов недвижимости, числящихся в Реестре муниципального имущества ЗАТО Северск и подлежащих регистрации,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проц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94,5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70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75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8" w:type="dxa"/>
            <w:vMerge w:val="continue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48" w:type="dxa"/>
            <w:vMerge w:val="continue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63" w:type="dxa"/>
            <w:vMerge w:val="continue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76" w:type="dxa"/>
            <w:vMerge w:val="continue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Merge w:val="continue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13" w:type="dxa"/>
            <w:textDirection w:val="lrTb"/>
            <w:noWrap w:val="false"/>
          </w:tcPr>
          <w:p>
            <w:pPr>
              <w:ind w:left="57" w:right="0"/>
              <w:spacing w:line="57" w:lineRule="atLeast"/>
              <w:rPr>
                <w:rFonts w:ascii="PT Astra Serif" w:hAnsi="PT Astra Serif" w:cs="PT Astra Serif"/>
                <w:sz w:val="24"/>
                <w:szCs w:val="24"/>
                <w:highlight w:val="white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</w:rPr>
              <w:t xml:space="preserve">2. Доля площади земельных участков, являющихся объектами налогообложения земельным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</w:rPr>
              <w:t xml:space="preserve">налогом, в общей площади территории городского округа,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</w:rPr>
              <w:t xml:space="preserve">проц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54,28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right"/>
              <w:spacing w:line="57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69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75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4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6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7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30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13" w:type="dxa"/>
            <w:textDirection w:val="lrTb"/>
            <w:noWrap w:val="false"/>
          </w:tcPr>
          <w:p>
            <w:pPr>
              <w:ind w:left="57" w:right="0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3. Снижение задолженности по 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арендной плате за пользование земельными участками и муниципальным имуществом по сравнению с 1 января предыдущего года,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проц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30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7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75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44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94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76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37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30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13" w:type="dxa"/>
            <w:textDirection w:val="lrTb"/>
            <w:noWrap w:val="false"/>
          </w:tcPr>
          <w:p>
            <w:pPr>
              <w:ind w:left="57" w:right="0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4. Объем воспроизводства лесов, га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6,8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379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75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2027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8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147 397,52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48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63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7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147 397,52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13" w:type="dxa"/>
            <w:textDirection w:val="lrTb"/>
            <w:noWrap w:val="false"/>
          </w:tcPr>
          <w:p>
            <w:pPr>
              <w:ind w:left="57" w:right="0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1. Доля объектов недвижимости, прошедших государственную регистрацию права собственнос-ти, от общего количества объектов недвижимости, числящихся в Реестре муниципального имущества ЗАТО Северск и подлежащих регистрации,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проц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95,5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767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tcW w:w="75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4" w:space="0"/>
              <w:right w:val="single" w:color="000000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8" w:type="dxa"/>
            <w:vMerge w:val="continue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48" w:type="dxa"/>
            <w:vMerge w:val="continue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63" w:type="dxa"/>
            <w:vMerge w:val="continue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76" w:type="dxa"/>
            <w:vMerge w:val="continue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Merge w:val="continue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13" w:type="dxa"/>
            <w:vMerge w:val="restart"/>
            <w:textDirection w:val="lrTb"/>
            <w:noWrap w:val="false"/>
          </w:tcPr>
          <w:p>
            <w:pPr>
              <w:ind w:left="57" w:right="0"/>
              <w:spacing w:line="57" w:lineRule="atLeast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2. Доля площади земельных участков, являющихся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</w:p>
          <w:p>
            <w:pPr>
              <w:ind w:left="57" w:right="0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объектами налогообложения земельным налогом, в общей площади территории городского округа,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проц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54,3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</w:p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56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75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4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4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6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7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13" w:type="dxa"/>
            <w:textDirection w:val="lrTb"/>
            <w:noWrap w:val="false"/>
          </w:tcPr>
          <w:p>
            <w:pPr>
              <w:ind w:left="57" w:right="0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3. Снижение задолженности по арендной плате за пользование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земельными участками и муниципальным имуществом по сравнению с 1 января предыдущего года,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проц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30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42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75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44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94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76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37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30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13" w:type="dxa"/>
            <w:textDirection w:val="lrTb"/>
            <w:noWrap w:val="false"/>
          </w:tcPr>
          <w:p>
            <w:pPr>
              <w:ind w:left="57" w:right="0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4. Объем воспроизводства лесов, га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color w:val="000000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6,8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  <w:highlight w:val="none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  <w:highlight w:val="none"/>
              </w:rPr>
            </w:r>
          </w:p>
        </w:tc>
      </w:tr>
      <w:tr>
        <w:tblPrEx/>
        <w:trPr>
          <w:trHeight w:val="223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75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2028</w:t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/>
                <w:sz w:val="24"/>
                <w:szCs w:val="24"/>
              </w:rPr>
            </w:r>
          </w:p>
          <w:p>
            <w:pPr>
              <w:jc w:val="center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(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прог-нозный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 период)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48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147 933,56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48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63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7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147 933,56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30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13" w:type="dxa"/>
            <w:textDirection w:val="lrTb"/>
            <w:noWrap w:val="false"/>
          </w:tcPr>
          <w:p>
            <w:pPr>
              <w:ind w:left="57" w:right="0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1. Доля объектов недвижимости, прошедших государственную регистрацию права собственнос-ти, от общего количества объектов недвижимости, числящихся в Реестре муниципального имущества ЗАТО Северск и подлежащих регистрации,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проц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96,5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41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75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4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6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7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30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13" w:type="dxa"/>
            <w:textDirection w:val="lrTb"/>
            <w:noWrap w:val="false"/>
          </w:tcPr>
          <w:p>
            <w:pPr>
              <w:ind w:left="57" w:right="0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2. Доля площади земельных участков, являющихся объектами налогообложения земельным налогом, в общей площади территории городского округа,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проц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54,3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56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75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44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94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76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37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30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auto" w:sz="4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13" w:type="dxa"/>
            <w:textDirection w:val="lrTb"/>
            <w:noWrap w:val="false"/>
          </w:tcPr>
          <w:p>
            <w:pPr>
              <w:ind w:left="57" w:right="0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3. Снижение задолженности по арендной плате за пользование земельными участками и муниципальным имуществом по сравнению с 1 января предыдущего года, 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проц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auto" w:sz="4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30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4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75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44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94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76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37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30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13" w:type="dxa"/>
            <w:textDirection w:val="lrTb"/>
            <w:noWrap w:val="false"/>
          </w:tcPr>
          <w:p>
            <w:pPr>
              <w:ind w:left="57" w:right="0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4. Объем воспроизводства лесов, га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6,6»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tabs>
          <w:tab w:val="left" w:pos="2175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sectPr>
      <w:headerReference w:type="default" r:id="rId8"/>
      <w:footerReference w:type="default" r:id="rId9"/>
      <w:footerReference w:type="first" r:id="rId10"/>
      <w:footnotePr/>
      <w:endnotePr/>
      <w:type w:val="nextPage"/>
      <w:pgSz w:w="16838" w:h="11906" w:orient="landscape"/>
      <w:pgMar w:top="1418" w:right="1134" w:bottom="567" w:left="1134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Segoe UI">
    <w:panose1 w:val="020B0502040204020203"/>
  </w:font>
  <w:font w:name="PT Astra Serif">
    <w:panose1 w:val="020A0603040505020204"/>
  </w:font>
  <w:font w:name="Arial">
    <w:panose1 w:val="020B0604020202020204"/>
  </w:font>
  <w:font w:name="Liberation Sans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3"/>
      <w:tabs>
        <w:tab w:val="clear" w:pos="4677" w:leader="none"/>
        <w:tab w:val="clear" w:pos="9355" w:leader="none"/>
      </w:tabs>
      <w:rPr>
        <w:rFonts w:ascii="Times New Roman" w:hAnsi="Times New Roman"/>
        <w:sz w:val="20"/>
        <w:szCs w:val="20"/>
        <w14:ligatures w14:val="none"/>
      </w:rPr>
    </w:pPr>
    <w:r>
      <w:rPr>
        <w:rFonts w:ascii="Times New Roman" w:hAnsi="Times New Roman"/>
        <w:sz w:val="20"/>
        <w:szCs w:val="20"/>
      </w:rPr>
      <w:t xml:space="preserve">Внутренний но</w:t>
    </w:r>
    <w:r>
      <w:rPr>
        <w:rFonts w:ascii="Times New Roman" w:hAnsi="Times New Roman"/>
        <w:sz w:val="20"/>
        <w:szCs w:val="20"/>
      </w:rPr>
      <w:t xml:space="preserve">мер: </w:t>
    </w:r>
    <w:r>
      <w:rPr>
        <w:rFonts w:ascii="Times New Roman" w:hAnsi="Times New Roman"/>
        <w:sz w:val="20"/>
        <w:szCs w:val="20"/>
      </w:rPr>
      <w:t xml:space="preserve">0378777</w:t>
    </w:r>
    <w:r>
      <w:rPr>
        <w:rFonts w:ascii="Times New Roman" w:hAnsi="Times New Roman"/>
        <w:sz w:val="20"/>
        <w:szCs w:val="20"/>
        <w14:ligatures w14:val="none"/>
      </w:rPr>
    </w:r>
    <w:r>
      <w:rPr>
        <w:rFonts w:ascii="Times New Roman" w:hAnsi="Times New Roman"/>
        <w:sz w:val="20"/>
        <w:szCs w:val="20"/>
        <w14:ligatures w14:val="none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3"/>
      <w:tabs>
        <w:tab w:val="clear" w:pos="4677" w:leader="none"/>
        <w:tab w:val="clear" w:pos="9355" w:leader="none"/>
      </w:tabs>
      <w:rPr>
        <w:rFonts w:ascii="PT Astra Serif" w:hAnsi="PT Astra Serif" w:cs="PT Astra Serif"/>
        <w:sz w:val="20"/>
        <w:szCs w:val="20"/>
        <w14:ligatures w14:val="none"/>
      </w:rPr>
    </w:pPr>
    <w:r>
      <w:rPr>
        <w:rFonts w:ascii="PT Astra Serif" w:hAnsi="PT Astra Serif" w:eastAsia="PT Astra Serif" w:cs="PT Astra Serif"/>
        <w:sz w:val="20"/>
        <w:szCs w:val="20"/>
      </w:rPr>
      <w:t xml:space="preserve">Внутренний но</w:t>
    </w:r>
    <w:r>
      <w:rPr>
        <w:rFonts w:ascii="PT Astra Serif" w:hAnsi="PT Astra Serif" w:eastAsia="PT Astra Serif" w:cs="PT Astra Serif"/>
        <w:sz w:val="20"/>
        <w:szCs w:val="20"/>
      </w:rPr>
      <w:t xml:space="preserve">мер: </w:t>
    </w:r>
    <w:r>
      <w:rPr>
        <w:rFonts w:ascii="PT Astra Serif" w:hAnsi="PT Astra Serif" w:eastAsia="PT Astra Serif" w:cs="PT Astra Serif"/>
        <w:sz w:val="20"/>
        <w:szCs w:val="20"/>
      </w:rPr>
      <w:t xml:space="preserve">0378777</w:t>
    </w:r>
    <w:r>
      <w:rPr>
        <w:rFonts w:ascii="PT Astra Serif" w:hAnsi="PT Astra Serif" w:cs="PT Astra Serif"/>
        <w:sz w:val="20"/>
        <w:szCs w:val="20"/>
        <w14:ligatures w14:val="none"/>
      </w:rPr>
    </w:r>
    <w:r>
      <w:rPr>
        <w:rFonts w:ascii="PT Astra Serif" w:hAnsi="PT Astra Serif" w:cs="PT Astra Serif"/>
        <w:sz w:val="20"/>
        <w:szCs w:val="20"/>
        <w14:ligatures w14:val="none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1787462736"/>
      <w:docPartObj>
        <w:docPartGallery w:val="Page Numbers (Top of Page)"/>
        <w:docPartUnique w:val="true"/>
      </w:docPartObj>
      <w:rPr>
        <w:rFonts w:ascii="Times New Roman" w:hAnsi="Times New Roman"/>
      </w:rPr>
    </w:sdtPr>
    <w:sdtContent>
      <w:p>
        <w:pPr>
          <w:pStyle w:val="911"/>
          <w:jc w:val="center"/>
          <w:rPr>
            <w:rFonts w:ascii="Times New Roman" w:hAnsi="Times New Roman"/>
          </w:rPr>
        </w:pPr>
        <w:r>
          <w:rPr>
            <w:rFonts w:ascii="Times New Roman" w:hAnsi="Times New Roman"/>
            <w:sz w:val="24"/>
            <w:szCs w:val="24"/>
          </w:rPr>
          <w:fldChar w:fldCharType="begin"/>
        </w:r>
        <w:r>
          <w:rPr>
            <w:rFonts w:ascii="Times New Roman" w:hAnsi="Times New Roman"/>
            <w:sz w:val="24"/>
            <w:szCs w:val="24"/>
          </w:rPr>
          <w:instrText xml:space="preserve">PAGE   \* MERGEFORMAT</w:instrText>
        </w:r>
        <w:r>
          <w:rPr>
            <w:rFonts w:ascii="PT Astra Serif" w:hAnsi="PT Astra Serif" w:eastAsia="PT Astra Serif" w:cs="PT Astra Serif"/>
            <w:sz w:val="24"/>
            <w:szCs w:val="24"/>
          </w:rPr>
          <w:fldChar w:fldCharType="separate"/>
        </w:r>
        <w:r>
          <w:rPr>
            <w:rFonts w:ascii="Times New Roman" w:hAnsi="Times New Roman"/>
            <w:sz w:val="24"/>
            <w:szCs w:val="24"/>
          </w:rPr>
          <w:t xml:space="preserve">2</w:t>
        </w:r>
        <w:r>
          <w:rPr>
            <w:rFonts w:ascii="Times New Roman" w:hAnsi="Times New Roman"/>
            <w:sz w:val="24"/>
            <w:szCs w:val="24"/>
          </w:rPr>
          <w:fldChar w:fldCharType="end"/>
        </w:r>
        <w:r>
          <w:rPr>
            <w:rFonts w:ascii="Times New Roman" w:hAnsi="Times New Roman"/>
          </w:rPr>
        </w:r>
        <w:r>
          <w:rPr>
            <w:rFonts w:ascii="Times New Roman" w:hAnsi="Times New Roman"/>
          </w:rPr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5" w:default="1">
    <w:name w:val="Normal"/>
    <w:qFormat/>
    <w:rPr>
      <w:rFonts w:ascii="Calibri" w:hAnsi="Calibri" w:eastAsia="Calibri" w:cs="Times New Roman"/>
    </w:rPr>
  </w:style>
  <w:style w:type="paragraph" w:styleId="706">
    <w:name w:val="Heading 1"/>
    <w:basedOn w:val="705"/>
    <w:next w:val="705"/>
    <w:link w:val="734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paragraph" w:styleId="707">
    <w:name w:val="Heading 2"/>
    <w:basedOn w:val="705"/>
    <w:next w:val="705"/>
    <w:link w:val="735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paragraph" w:styleId="708">
    <w:name w:val="Heading 3"/>
    <w:basedOn w:val="705"/>
    <w:next w:val="705"/>
    <w:link w:val="736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709">
    <w:name w:val="Heading 4"/>
    <w:basedOn w:val="705"/>
    <w:next w:val="705"/>
    <w:link w:val="737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10">
    <w:name w:val="Heading 5"/>
    <w:basedOn w:val="705"/>
    <w:next w:val="705"/>
    <w:link w:val="738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11">
    <w:name w:val="Heading 6"/>
    <w:basedOn w:val="705"/>
    <w:next w:val="705"/>
    <w:link w:val="739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</w:rPr>
  </w:style>
  <w:style w:type="paragraph" w:styleId="712">
    <w:name w:val="Heading 7"/>
    <w:basedOn w:val="705"/>
    <w:next w:val="705"/>
    <w:link w:val="740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</w:rPr>
  </w:style>
  <w:style w:type="paragraph" w:styleId="713">
    <w:name w:val="Heading 8"/>
    <w:basedOn w:val="705"/>
    <w:next w:val="705"/>
    <w:link w:val="741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</w:rPr>
  </w:style>
  <w:style w:type="paragraph" w:styleId="714">
    <w:name w:val="Heading 9"/>
    <w:basedOn w:val="705"/>
    <w:next w:val="705"/>
    <w:link w:val="742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15" w:default="1">
    <w:name w:val="Default Paragraph Font"/>
    <w:uiPriority w:val="1"/>
    <w:semiHidden/>
    <w:unhideWhenUsed/>
  </w:style>
  <w:style w:type="table" w:styleId="71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7" w:default="1">
    <w:name w:val="No List"/>
    <w:uiPriority w:val="99"/>
    <w:semiHidden/>
    <w:unhideWhenUsed/>
  </w:style>
  <w:style w:type="character" w:styleId="718" w:customStyle="1">
    <w:name w:val="Heading 1 Char"/>
    <w:basedOn w:val="715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19" w:customStyle="1">
    <w:name w:val="Heading 2 Char"/>
    <w:basedOn w:val="715"/>
    <w:uiPriority w:val="9"/>
    <w:rPr>
      <w:rFonts w:ascii="Liberation Sans" w:hAnsi="Liberation Sans" w:eastAsia="Liberation Sans" w:cs="Liberation Sans"/>
      <w:sz w:val="34"/>
    </w:rPr>
  </w:style>
  <w:style w:type="character" w:styleId="720" w:customStyle="1">
    <w:name w:val="Heading 3 Char"/>
    <w:basedOn w:val="715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21" w:customStyle="1">
    <w:name w:val="Heading 4 Char"/>
    <w:basedOn w:val="715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22" w:customStyle="1">
    <w:name w:val="Heading 5 Char"/>
    <w:basedOn w:val="715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23" w:customStyle="1">
    <w:name w:val="Heading 6 Char"/>
    <w:basedOn w:val="71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24" w:customStyle="1">
    <w:name w:val="Heading 7 Char"/>
    <w:basedOn w:val="715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25" w:customStyle="1">
    <w:name w:val="Heading 8 Char"/>
    <w:basedOn w:val="715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26" w:customStyle="1">
    <w:name w:val="Heading 9 Char"/>
    <w:basedOn w:val="715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27" w:customStyle="1">
    <w:name w:val="Title Char"/>
    <w:basedOn w:val="715"/>
    <w:uiPriority w:val="10"/>
    <w:rPr>
      <w:sz w:val="48"/>
      <w:szCs w:val="48"/>
    </w:rPr>
  </w:style>
  <w:style w:type="character" w:styleId="728" w:customStyle="1">
    <w:name w:val="Subtitle Char"/>
    <w:basedOn w:val="715"/>
    <w:uiPriority w:val="11"/>
    <w:rPr>
      <w:sz w:val="24"/>
      <w:szCs w:val="24"/>
    </w:rPr>
  </w:style>
  <w:style w:type="character" w:styleId="729" w:customStyle="1">
    <w:name w:val="Quote Char"/>
    <w:uiPriority w:val="29"/>
    <w:rPr>
      <w:i/>
    </w:rPr>
  </w:style>
  <w:style w:type="character" w:styleId="730" w:customStyle="1">
    <w:name w:val="Intense Quote Char"/>
    <w:uiPriority w:val="30"/>
    <w:rPr>
      <w:i/>
    </w:rPr>
  </w:style>
  <w:style w:type="character" w:styleId="731" w:customStyle="1">
    <w:name w:val="Caption Char"/>
    <w:basedOn w:val="715"/>
    <w:uiPriority w:val="35"/>
    <w:rPr>
      <w:b/>
      <w:bCs/>
      <w:color w:val="5b9bd5" w:themeColor="accent1"/>
      <w:sz w:val="18"/>
      <w:szCs w:val="18"/>
    </w:rPr>
  </w:style>
  <w:style w:type="character" w:styleId="732" w:customStyle="1">
    <w:name w:val="Footnote Text Char"/>
    <w:uiPriority w:val="99"/>
    <w:rPr>
      <w:sz w:val="18"/>
    </w:rPr>
  </w:style>
  <w:style w:type="character" w:styleId="733" w:customStyle="1">
    <w:name w:val="Endnote Text Char"/>
    <w:uiPriority w:val="99"/>
    <w:rPr>
      <w:sz w:val="20"/>
    </w:rPr>
  </w:style>
  <w:style w:type="character" w:styleId="734" w:customStyle="1">
    <w:name w:val="Заголовок 1 Знак"/>
    <w:basedOn w:val="715"/>
    <w:link w:val="706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35" w:customStyle="1">
    <w:name w:val="Заголовок 2 Знак"/>
    <w:basedOn w:val="715"/>
    <w:link w:val="707"/>
    <w:uiPriority w:val="9"/>
    <w:rPr>
      <w:rFonts w:ascii="Liberation Sans" w:hAnsi="Liberation Sans" w:eastAsia="Liberation Sans" w:cs="Liberation Sans"/>
      <w:sz w:val="34"/>
    </w:rPr>
  </w:style>
  <w:style w:type="character" w:styleId="736" w:customStyle="1">
    <w:name w:val="Заголовок 3 Знак"/>
    <w:basedOn w:val="715"/>
    <w:link w:val="708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37" w:customStyle="1">
    <w:name w:val="Заголовок 4 Знак"/>
    <w:basedOn w:val="715"/>
    <w:link w:val="709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38" w:customStyle="1">
    <w:name w:val="Заголовок 5 Знак"/>
    <w:basedOn w:val="715"/>
    <w:link w:val="710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39" w:customStyle="1">
    <w:name w:val="Заголовок 6 Знак"/>
    <w:basedOn w:val="715"/>
    <w:link w:val="711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40" w:customStyle="1">
    <w:name w:val="Заголовок 7 Знак"/>
    <w:basedOn w:val="715"/>
    <w:link w:val="712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41" w:customStyle="1">
    <w:name w:val="Заголовок 8 Знак"/>
    <w:basedOn w:val="715"/>
    <w:link w:val="713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42" w:customStyle="1">
    <w:name w:val="Заголовок 9 Знак"/>
    <w:basedOn w:val="715"/>
    <w:link w:val="714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43">
    <w:name w:val="List Paragraph"/>
    <w:basedOn w:val="705"/>
    <w:uiPriority w:val="34"/>
    <w:qFormat/>
    <w:pPr>
      <w:contextualSpacing/>
      <w:ind w:left="720"/>
    </w:pPr>
  </w:style>
  <w:style w:type="paragraph" w:styleId="744">
    <w:name w:val="No Spacing"/>
    <w:uiPriority w:val="1"/>
    <w:qFormat/>
    <w:pPr>
      <w:spacing w:after="0" w:line="240" w:lineRule="auto"/>
    </w:pPr>
  </w:style>
  <w:style w:type="paragraph" w:styleId="745">
    <w:name w:val="Title"/>
    <w:basedOn w:val="705"/>
    <w:next w:val="705"/>
    <w:link w:val="74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6" w:customStyle="1">
    <w:name w:val="Заголовок Знак"/>
    <w:basedOn w:val="715"/>
    <w:link w:val="745"/>
    <w:uiPriority w:val="10"/>
    <w:rPr>
      <w:sz w:val="48"/>
      <w:szCs w:val="48"/>
    </w:rPr>
  </w:style>
  <w:style w:type="paragraph" w:styleId="747">
    <w:name w:val="Subtitle"/>
    <w:basedOn w:val="705"/>
    <w:next w:val="705"/>
    <w:link w:val="748"/>
    <w:uiPriority w:val="11"/>
    <w:qFormat/>
    <w:pPr>
      <w:spacing w:before="200" w:after="200"/>
    </w:pPr>
    <w:rPr>
      <w:sz w:val="24"/>
      <w:szCs w:val="24"/>
    </w:rPr>
  </w:style>
  <w:style w:type="character" w:styleId="748" w:customStyle="1">
    <w:name w:val="Подзаголовок Знак"/>
    <w:basedOn w:val="715"/>
    <w:link w:val="747"/>
    <w:uiPriority w:val="11"/>
    <w:rPr>
      <w:sz w:val="24"/>
      <w:szCs w:val="24"/>
    </w:rPr>
  </w:style>
  <w:style w:type="paragraph" w:styleId="749">
    <w:name w:val="Quote"/>
    <w:basedOn w:val="705"/>
    <w:next w:val="705"/>
    <w:link w:val="750"/>
    <w:uiPriority w:val="29"/>
    <w:qFormat/>
    <w:pPr>
      <w:ind w:left="720" w:right="720"/>
    </w:pPr>
    <w:rPr>
      <w:i/>
    </w:rPr>
  </w:style>
  <w:style w:type="character" w:styleId="750" w:customStyle="1">
    <w:name w:val="Цитата 2 Знак"/>
    <w:link w:val="749"/>
    <w:uiPriority w:val="29"/>
    <w:rPr>
      <w:i/>
    </w:rPr>
  </w:style>
  <w:style w:type="paragraph" w:styleId="751">
    <w:name w:val="Intense Quote"/>
    <w:basedOn w:val="705"/>
    <w:next w:val="705"/>
    <w:link w:val="75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2" w:customStyle="1">
    <w:name w:val="Выделенная цитата Знак"/>
    <w:link w:val="751"/>
    <w:uiPriority w:val="30"/>
    <w:rPr>
      <w:i/>
    </w:rPr>
  </w:style>
  <w:style w:type="character" w:styleId="753" w:customStyle="1">
    <w:name w:val="Header Char"/>
    <w:basedOn w:val="715"/>
    <w:uiPriority w:val="99"/>
  </w:style>
  <w:style w:type="character" w:styleId="754" w:customStyle="1">
    <w:name w:val="Footer Char"/>
    <w:basedOn w:val="715"/>
    <w:uiPriority w:val="99"/>
  </w:style>
  <w:style w:type="paragraph" w:styleId="755">
    <w:name w:val="Caption"/>
    <w:basedOn w:val="705"/>
    <w:next w:val="705"/>
    <w:link w:val="756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styleId="756" w:customStyle="1">
    <w:name w:val="Название объекта Знак"/>
    <w:basedOn w:val="715"/>
    <w:link w:val="755"/>
    <w:uiPriority w:val="35"/>
    <w:rPr>
      <w:b/>
      <w:bCs/>
      <w:color w:val="5b9bd5" w:themeColor="accent1"/>
      <w:sz w:val="18"/>
      <w:szCs w:val="18"/>
    </w:rPr>
  </w:style>
  <w:style w:type="table" w:styleId="757">
    <w:name w:val="Table Grid"/>
    <w:basedOn w:val="716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58" w:customStyle="1">
    <w:name w:val="Table Grid Light"/>
    <w:basedOn w:val="71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9">
    <w:name w:val="Plain Table 1"/>
    <w:basedOn w:val="71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0">
    <w:name w:val="Plain Table 2"/>
    <w:basedOn w:val="71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1">
    <w:name w:val="Plain Table 3"/>
    <w:basedOn w:val="71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2">
    <w:name w:val="Plain Table 4"/>
    <w:basedOn w:val="71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Plain Table 5"/>
    <w:basedOn w:val="71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4">
    <w:name w:val="Grid Table 1 Light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1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2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3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Grid Table 1 Light - Accent 4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Grid Table 1 Light - Accent 5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Grid Table 1 Light - Accent 6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Grid Table 2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1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2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3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2 - Accent 4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2 - Accent 5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2 - Accent 6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3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1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2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3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3 - Accent 4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3 - Accent 5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3 - Accent 6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4"/>
    <w:basedOn w:val="71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6" w:customStyle="1">
    <w:name w:val="Grid Table 4 - Accent 1"/>
    <w:basedOn w:val="716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787" w:customStyle="1">
    <w:name w:val="Grid Table 4 - Accent 2"/>
    <w:basedOn w:val="71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88" w:customStyle="1">
    <w:name w:val="Grid Table 4 - Accent 3"/>
    <w:basedOn w:val="71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89" w:customStyle="1">
    <w:name w:val="Grid Table 4 - Accent 4"/>
    <w:basedOn w:val="71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90" w:customStyle="1">
    <w:name w:val="Grid Table 4 - Accent 5"/>
    <w:basedOn w:val="71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791" w:customStyle="1">
    <w:name w:val="Grid Table 4 - Accent 6"/>
    <w:basedOn w:val="716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92">
    <w:name w:val="Grid Table 5 Dark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- Accent 1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2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 - Accent 3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796" w:customStyle="1">
    <w:name w:val="Grid Table 5 Dark- Accent 4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797" w:customStyle="1">
    <w:name w:val="Grid Table 5 Dark - Accent 5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798" w:customStyle="1">
    <w:name w:val="Grid Table 5 Dark - Accent 6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799">
    <w:name w:val="Grid Table 6 Colorful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0" w:customStyle="1">
    <w:name w:val="Grid Table 6 Colorful - Accent 1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801" w:customStyle="1">
    <w:name w:val="Grid Table 6 Colorful - Accent 2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802" w:customStyle="1">
    <w:name w:val="Grid Table 6 Colorful - Accent 3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803" w:customStyle="1">
    <w:name w:val="Grid Table 6 Colorful - Accent 4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804" w:customStyle="1">
    <w:name w:val="Grid Table 6 Colorful - Accent 5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05" w:customStyle="1">
    <w:name w:val="Grid Table 6 Colorful - Accent 6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06">
    <w:name w:val="Grid Table 7 Colorful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7 Colorful - Accent 1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CCCEA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CCCEA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CCCEA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7 Colorful - Accent 2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7 Colorful - Accent 3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7 Colorful - Accent 4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7 Colorful - Accent 5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rFonts w:ascii="Liberation Sans" w:hAnsi="Liberation Sans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5AFDD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5AFDD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7 Colorful - Accent 6"/>
    <w:basedOn w:val="71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List Table 1 Light"/>
    <w:basedOn w:val="71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1"/>
    <w:basedOn w:val="71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2"/>
    <w:basedOn w:val="71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3"/>
    <w:basedOn w:val="71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1 Light - Accent 4"/>
    <w:basedOn w:val="71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1 Light - Accent 5"/>
    <w:basedOn w:val="71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1 Light - Accent 6"/>
    <w:basedOn w:val="71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List Table 2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1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2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3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24" w:customStyle="1">
    <w:name w:val="List Table 2 - Accent 4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25" w:customStyle="1">
    <w:name w:val="List Table 2 - Accent 5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826" w:customStyle="1">
    <w:name w:val="List Table 2 - Accent 6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27">
    <w:name w:val="List Table 3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1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2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3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3 - Accent 4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3 - Accent 5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3 - Accent 6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4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1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2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3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4 - Accent 4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List Table 4 - Accent 5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List Table 4 - Accent 6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5 Dark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2" w:customStyle="1">
    <w:name w:val="List Table 5 Dark - Accent 1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3" w:customStyle="1">
    <w:name w:val="List Table 5 Dark - Accent 2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4" w:customStyle="1">
    <w:name w:val="List Table 5 Dark - Accent 3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5" w:customStyle="1">
    <w:name w:val="List Table 5 Dark - Accent 4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6" w:customStyle="1">
    <w:name w:val="List Table 5 Dark - Accent 5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7" w:customStyle="1">
    <w:name w:val="List Table 5 Dark - Accent 6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8">
    <w:name w:val="List Table 6 Colorful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9" w:customStyle="1">
    <w:name w:val="List Table 6 Colorful - Accent 1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50" w:customStyle="1">
    <w:name w:val="List Table 6 Colorful - Accent 2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51" w:customStyle="1">
    <w:name w:val="List Table 6 Colorful - Accent 3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52" w:customStyle="1">
    <w:name w:val="List Table 6 Colorful - Accent 4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53" w:customStyle="1">
    <w:name w:val="List Table 6 Colorful - Accent 5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54" w:customStyle="1">
    <w:name w:val="List Table 6 Colorful - Accent 6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55">
    <w:name w:val="List Table 7 Colorful"/>
    <w:basedOn w:val="71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7 Colorful - Accent 1"/>
    <w:basedOn w:val="71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rFonts w:ascii="Liberation Sans" w:hAnsi="Liberation Sans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1" w:sz="4" w:space="0"/>
        </w:tcBorders>
      </w:tcPr>
    </w:tblStylePr>
    <w:tblStylePr w:type="fir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5B9BD5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7 Colorful - Accent 2"/>
    <w:basedOn w:val="71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st Table 7 Colorful - Accent 3"/>
    <w:basedOn w:val="71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List Table 7 Colorful - Accent 4"/>
    <w:basedOn w:val="71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 w:customStyle="1">
    <w:name w:val="List Table 7 Colorful - Accent 5"/>
    <w:basedOn w:val="71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DA9DB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DA9DB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8DA9DB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 w:customStyle="1">
    <w:name w:val="List Table 7 Colorful - Accent 6"/>
    <w:basedOn w:val="71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 w:customStyle="1">
    <w:name w:val="Lined - Accent"/>
    <w:basedOn w:val="71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3" w:customStyle="1">
    <w:name w:val="Lined - Accent 1"/>
    <w:basedOn w:val="71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64" w:customStyle="1">
    <w:name w:val="Lined - Accent 2"/>
    <w:basedOn w:val="71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65" w:customStyle="1">
    <w:name w:val="Lined - Accent 3"/>
    <w:basedOn w:val="71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66" w:customStyle="1">
    <w:name w:val="Lined - Accent 4"/>
    <w:basedOn w:val="71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67" w:customStyle="1">
    <w:name w:val="Lined - Accent 5"/>
    <w:basedOn w:val="71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68" w:customStyle="1">
    <w:name w:val="Lined - Accent 6"/>
    <w:basedOn w:val="71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69" w:customStyle="1">
    <w:name w:val="Bordered &amp; Lined - Accent"/>
    <w:basedOn w:val="71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0" w:customStyle="1">
    <w:name w:val="Bordered &amp; Lined - Accent 1"/>
    <w:basedOn w:val="71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71" w:customStyle="1">
    <w:name w:val="Bordered &amp; Lined - Accent 2"/>
    <w:basedOn w:val="71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72" w:customStyle="1">
    <w:name w:val="Bordered &amp; Lined - Accent 3"/>
    <w:basedOn w:val="71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73" w:customStyle="1">
    <w:name w:val="Bordered &amp; Lined - Accent 4"/>
    <w:basedOn w:val="71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74" w:customStyle="1">
    <w:name w:val="Bordered &amp; Lined - Accent 5"/>
    <w:basedOn w:val="71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75" w:customStyle="1">
    <w:name w:val="Bordered &amp; Lined - Accent 6"/>
    <w:basedOn w:val="71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76" w:customStyle="1">
    <w:name w:val="Bordered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7" w:customStyle="1">
    <w:name w:val="Bordered - Accent 1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878" w:customStyle="1">
    <w:name w:val="Bordered - Accent 2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79" w:customStyle="1">
    <w:name w:val="Bordered - Accent 3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80" w:customStyle="1">
    <w:name w:val="Bordered - Accent 4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81" w:customStyle="1">
    <w:name w:val="Bordered - Accent 5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882" w:customStyle="1">
    <w:name w:val="Bordered - Accent 6"/>
    <w:basedOn w:val="71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883">
    <w:name w:val="Hyperlink"/>
    <w:uiPriority w:val="99"/>
    <w:unhideWhenUsed/>
    <w:rPr>
      <w:color w:val="0563c1" w:themeColor="hyperlink"/>
      <w:u w:val="single"/>
    </w:rPr>
  </w:style>
  <w:style w:type="paragraph" w:styleId="884">
    <w:name w:val="footnote text"/>
    <w:basedOn w:val="705"/>
    <w:link w:val="885"/>
    <w:uiPriority w:val="99"/>
    <w:semiHidden/>
    <w:unhideWhenUsed/>
    <w:pPr>
      <w:spacing w:after="40" w:line="240" w:lineRule="auto"/>
    </w:pPr>
    <w:rPr>
      <w:sz w:val="18"/>
    </w:rPr>
  </w:style>
  <w:style w:type="character" w:styleId="885" w:customStyle="1">
    <w:name w:val="Текст сноски Знак"/>
    <w:link w:val="884"/>
    <w:uiPriority w:val="99"/>
    <w:rPr>
      <w:sz w:val="18"/>
    </w:rPr>
  </w:style>
  <w:style w:type="character" w:styleId="886">
    <w:name w:val="footnote reference"/>
    <w:basedOn w:val="715"/>
    <w:uiPriority w:val="99"/>
    <w:unhideWhenUsed/>
    <w:rPr>
      <w:vertAlign w:val="superscript"/>
    </w:rPr>
  </w:style>
  <w:style w:type="paragraph" w:styleId="887">
    <w:name w:val="endnote text"/>
    <w:basedOn w:val="705"/>
    <w:link w:val="888"/>
    <w:uiPriority w:val="99"/>
    <w:semiHidden/>
    <w:unhideWhenUsed/>
    <w:pPr>
      <w:spacing w:after="0" w:line="240" w:lineRule="auto"/>
    </w:pPr>
    <w:rPr>
      <w:sz w:val="20"/>
    </w:rPr>
  </w:style>
  <w:style w:type="character" w:styleId="888" w:customStyle="1">
    <w:name w:val="Текст концевой сноски Знак"/>
    <w:link w:val="887"/>
    <w:uiPriority w:val="99"/>
    <w:rPr>
      <w:sz w:val="20"/>
    </w:rPr>
  </w:style>
  <w:style w:type="character" w:styleId="889">
    <w:name w:val="endnote reference"/>
    <w:basedOn w:val="715"/>
    <w:uiPriority w:val="99"/>
    <w:semiHidden/>
    <w:unhideWhenUsed/>
    <w:rPr>
      <w:vertAlign w:val="superscript"/>
    </w:rPr>
  </w:style>
  <w:style w:type="paragraph" w:styleId="890">
    <w:name w:val="toc 1"/>
    <w:basedOn w:val="705"/>
    <w:next w:val="705"/>
    <w:uiPriority w:val="39"/>
    <w:unhideWhenUsed/>
    <w:pPr>
      <w:spacing w:after="57"/>
    </w:pPr>
  </w:style>
  <w:style w:type="paragraph" w:styleId="891">
    <w:name w:val="toc 2"/>
    <w:basedOn w:val="705"/>
    <w:next w:val="705"/>
    <w:uiPriority w:val="39"/>
    <w:unhideWhenUsed/>
    <w:pPr>
      <w:ind w:left="283"/>
      <w:spacing w:after="57"/>
    </w:pPr>
  </w:style>
  <w:style w:type="paragraph" w:styleId="892">
    <w:name w:val="toc 3"/>
    <w:basedOn w:val="705"/>
    <w:next w:val="705"/>
    <w:uiPriority w:val="39"/>
    <w:unhideWhenUsed/>
    <w:pPr>
      <w:ind w:left="567"/>
      <w:spacing w:after="57"/>
    </w:pPr>
  </w:style>
  <w:style w:type="paragraph" w:styleId="893">
    <w:name w:val="toc 4"/>
    <w:basedOn w:val="705"/>
    <w:next w:val="705"/>
    <w:uiPriority w:val="39"/>
    <w:unhideWhenUsed/>
    <w:pPr>
      <w:ind w:left="850"/>
      <w:spacing w:after="57"/>
    </w:pPr>
  </w:style>
  <w:style w:type="paragraph" w:styleId="894">
    <w:name w:val="toc 5"/>
    <w:basedOn w:val="705"/>
    <w:next w:val="705"/>
    <w:uiPriority w:val="39"/>
    <w:unhideWhenUsed/>
    <w:pPr>
      <w:ind w:left="1134"/>
      <w:spacing w:after="57"/>
    </w:pPr>
  </w:style>
  <w:style w:type="paragraph" w:styleId="895">
    <w:name w:val="toc 6"/>
    <w:basedOn w:val="705"/>
    <w:next w:val="705"/>
    <w:uiPriority w:val="39"/>
    <w:unhideWhenUsed/>
    <w:pPr>
      <w:ind w:left="1417"/>
      <w:spacing w:after="57"/>
    </w:pPr>
  </w:style>
  <w:style w:type="paragraph" w:styleId="896">
    <w:name w:val="toc 7"/>
    <w:basedOn w:val="705"/>
    <w:next w:val="705"/>
    <w:uiPriority w:val="39"/>
    <w:unhideWhenUsed/>
    <w:pPr>
      <w:ind w:left="1701"/>
      <w:spacing w:after="57"/>
    </w:pPr>
  </w:style>
  <w:style w:type="paragraph" w:styleId="897">
    <w:name w:val="toc 8"/>
    <w:basedOn w:val="705"/>
    <w:next w:val="705"/>
    <w:uiPriority w:val="39"/>
    <w:unhideWhenUsed/>
    <w:pPr>
      <w:ind w:left="1984"/>
      <w:spacing w:after="57"/>
    </w:pPr>
  </w:style>
  <w:style w:type="paragraph" w:styleId="898">
    <w:name w:val="toc 9"/>
    <w:basedOn w:val="705"/>
    <w:next w:val="705"/>
    <w:uiPriority w:val="39"/>
    <w:unhideWhenUsed/>
    <w:pPr>
      <w:ind w:left="2268"/>
      <w:spacing w:after="57"/>
    </w:pPr>
  </w:style>
  <w:style w:type="paragraph" w:styleId="899">
    <w:name w:val="TOC Heading"/>
    <w:uiPriority w:val="39"/>
    <w:unhideWhenUsed/>
  </w:style>
  <w:style w:type="paragraph" w:styleId="900">
    <w:name w:val="table of figures"/>
    <w:basedOn w:val="705"/>
    <w:next w:val="705"/>
    <w:uiPriority w:val="99"/>
    <w:unhideWhenUsed/>
    <w:pPr>
      <w:spacing w:after="0"/>
    </w:pPr>
  </w:style>
  <w:style w:type="paragraph" w:styleId="901" w:customStyle="1">
    <w:name w:val="ConsPlusNormal"/>
    <w:pPr>
      <w:spacing w:after="0" w:line="240" w:lineRule="auto"/>
      <w:widowControl w:val="off"/>
    </w:pPr>
    <w:rPr>
      <w:rFonts w:ascii="Arial" w:hAnsi="Arial" w:eastAsia="Times New Roman" w:cs="Arial"/>
      <w:sz w:val="20"/>
      <w:lang w:eastAsia="ru-RU"/>
    </w:rPr>
  </w:style>
  <w:style w:type="paragraph" w:styleId="902" w:customStyle="1">
    <w:name w:val="ConsPlusTitle"/>
    <w:pPr>
      <w:spacing w:after="0" w:line="240" w:lineRule="auto"/>
      <w:widowControl w:val="off"/>
    </w:pPr>
    <w:rPr>
      <w:rFonts w:ascii="Arial" w:hAnsi="Arial" w:eastAsia="Times New Roman" w:cs="Arial"/>
      <w:b/>
      <w:sz w:val="20"/>
      <w:lang w:eastAsia="ru-RU"/>
    </w:rPr>
  </w:style>
  <w:style w:type="character" w:styleId="903">
    <w:name w:val="annotation reference"/>
    <w:basedOn w:val="715"/>
    <w:uiPriority w:val="99"/>
    <w:semiHidden/>
    <w:unhideWhenUsed/>
    <w:rPr>
      <w:sz w:val="16"/>
      <w:szCs w:val="16"/>
    </w:rPr>
  </w:style>
  <w:style w:type="paragraph" w:styleId="904">
    <w:name w:val="annotation text"/>
    <w:basedOn w:val="705"/>
    <w:link w:val="905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905" w:customStyle="1">
    <w:name w:val="Текст примечания Знак"/>
    <w:basedOn w:val="715"/>
    <w:link w:val="904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906">
    <w:name w:val="annotation subject"/>
    <w:basedOn w:val="904"/>
    <w:next w:val="904"/>
    <w:link w:val="907"/>
    <w:uiPriority w:val="99"/>
    <w:semiHidden/>
    <w:unhideWhenUsed/>
    <w:rPr>
      <w:b/>
      <w:bCs/>
    </w:rPr>
  </w:style>
  <w:style w:type="character" w:styleId="907" w:customStyle="1">
    <w:name w:val="Тема примечания Знак"/>
    <w:basedOn w:val="905"/>
    <w:link w:val="906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908">
    <w:name w:val="Balloon Text"/>
    <w:basedOn w:val="705"/>
    <w:link w:val="909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909" w:customStyle="1">
    <w:name w:val="Текст выноски Знак"/>
    <w:basedOn w:val="715"/>
    <w:link w:val="908"/>
    <w:uiPriority w:val="99"/>
    <w:semiHidden/>
    <w:rPr>
      <w:rFonts w:ascii="Segoe UI" w:hAnsi="Segoe UI" w:eastAsia="Calibri" w:cs="Segoe UI"/>
      <w:sz w:val="18"/>
      <w:szCs w:val="18"/>
    </w:rPr>
  </w:style>
  <w:style w:type="paragraph" w:styleId="910" w:customStyle="1">
    <w:name w:val="ConsPlusNonformat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911">
    <w:name w:val="Header"/>
    <w:basedOn w:val="705"/>
    <w:link w:val="912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12" w:customStyle="1">
    <w:name w:val="Верхний колонтитул Знак"/>
    <w:basedOn w:val="715"/>
    <w:link w:val="911"/>
    <w:uiPriority w:val="99"/>
    <w:rPr>
      <w:rFonts w:ascii="Calibri" w:hAnsi="Calibri" w:eastAsia="Calibri" w:cs="Times New Roman"/>
    </w:rPr>
  </w:style>
  <w:style w:type="paragraph" w:styleId="913">
    <w:name w:val="Footer"/>
    <w:basedOn w:val="705"/>
    <w:link w:val="914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14" w:customStyle="1">
    <w:name w:val="Нижний колонтитул Знак"/>
    <w:basedOn w:val="715"/>
    <w:link w:val="913"/>
    <w:rPr>
      <w:rFonts w:ascii="Calibri" w:hAnsi="Calibri" w:eastAsia="Calibri" w:cs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footer" Target="footer2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08E58-EA67-4988-8BBF-2DB6C319C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Anikina</dc:creator>
  <cp:keywords/>
  <dc:description/>
  <cp:lastModifiedBy>Trofimova</cp:lastModifiedBy>
  <cp:revision>92</cp:revision>
  <dcterms:created xsi:type="dcterms:W3CDTF">2023-12-27T09:39:00Z</dcterms:created>
  <dcterms:modified xsi:type="dcterms:W3CDTF">2026-07-29T07:10:24Z</dcterms:modified>
</cp:coreProperties>
</file>