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7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            </w:t>
      </w:r>
      <w:r>
        <w:rPr>
          <w:b w:val="0"/>
          <w:sz w:val="24"/>
          <w:szCs w:val="24"/>
        </w:rPr>
        <w:t xml:space="preserve">Приложение </w:t>
      </w:r>
      <w:r>
        <w:rPr>
          <w:b w:val="0"/>
          <w:sz w:val="24"/>
          <w:szCs w:val="24"/>
        </w:rPr>
        <w:t xml:space="preserve">3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7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            </w:t>
      </w:r>
      <w:r>
        <w:rPr>
          <w:b w:val="0"/>
          <w:sz w:val="24"/>
          <w:szCs w:val="24"/>
        </w:rPr>
        <w:t xml:space="preserve">к постановлению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7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            </w:t>
      </w:r>
      <w:r>
        <w:rPr>
          <w:b w:val="0"/>
          <w:sz w:val="24"/>
          <w:szCs w:val="24"/>
        </w:rPr>
        <w:t xml:space="preserve">Администрации</w:t>
      </w:r>
      <w:r>
        <w:rPr>
          <w:b w:val="0"/>
          <w:sz w:val="24"/>
          <w:szCs w:val="24"/>
        </w:rPr>
        <w:t xml:space="preserve"> ЗАТО Северск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7"/>
        <w:spacing w:before="0" w:beforeAutospacing="0" w:after="0" w:afterAutospacing="0"/>
        <w:tabs>
          <w:tab w:val="left" w:pos="10080" w:leader="none"/>
        </w:tabs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           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  <w:t xml:space="preserve">от __</w:t>
      </w:r>
      <w:r>
        <w:rPr>
          <w:b w:val="0"/>
          <w:bCs w:val="0"/>
          <w:sz w:val="24"/>
          <w:szCs w:val="24"/>
        </w:rPr>
        <w:t xml:space="preserve">31.07.2026</w:t>
      </w:r>
      <w:r>
        <w:rPr>
          <w:b w:val="0"/>
          <w:bCs w:val="0"/>
          <w:sz w:val="24"/>
          <w:szCs w:val="24"/>
        </w:rPr>
        <w:t xml:space="preserve">___№__1565-па</w:t>
      </w:r>
      <w:r>
        <w:rPr>
          <w:b w:val="0"/>
          <w:bCs w:val="0"/>
          <w:sz w:val="24"/>
          <w:szCs w:val="24"/>
        </w:rPr>
        <w:t xml:space="preserve">_</w:t>
      </w:r>
      <w:r/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937"/>
        <w:jc w:val="center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7"/>
        <w:jc w:val="center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«</w:t>
      </w:r>
      <w:r>
        <w:rPr>
          <w:b w:val="0"/>
          <w:sz w:val="24"/>
          <w:szCs w:val="24"/>
        </w:rPr>
        <w:t xml:space="preserve"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</w:t>
      </w:r>
      <w:r>
        <w:rPr>
          <w:b w:val="0"/>
          <w:sz w:val="24"/>
          <w:szCs w:val="24"/>
        </w:rPr>
        <w:t xml:space="preserve">территорий</w:t>
      </w:r>
      <w:r>
        <w:rPr>
          <w:b w:val="0"/>
          <w:sz w:val="24"/>
          <w:szCs w:val="24"/>
        </w:rPr>
        <w:t xml:space="preserve"> ЗАТО Северск»</w:t>
      </w:r>
      <w:r>
        <w:rPr>
          <w:b w:val="0"/>
          <w:sz w:val="24"/>
          <w:szCs w:val="24"/>
        </w:rPr>
        <w:t xml:space="preserve">                                                          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937"/>
        <w:ind w:right="-31"/>
        <w:jc w:val="center"/>
        <w:spacing w:before="0" w:beforeAutospacing="0" w:after="0" w:afterAutospacing="0"/>
        <w:tabs>
          <w:tab w:val="left" w:pos="10080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   </w:t>
      </w:r>
      <w:r>
        <w:rPr>
          <w:b w:val="0"/>
          <w:sz w:val="24"/>
          <w:szCs w:val="24"/>
        </w:rPr>
        <w:t xml:space="preserve">Таблица 5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first" r:id="rId14"/>
          <w:footnotePr/>
          <w:endnotePr/>
          <w:type w:val="nextPage"/>
          <w:pgSz w:w="16838" w:h="11906" w:orient="landscape"/>
          <w:pgMar w:top="1701" w:right="567" w:bottom="567" w:left="1701" w:header="567" w:footer="284" w:gutter="0"/>
          <w:pgNumType w:start="4"/>
          <w:cols w:num="1" w:sep="0" w:space="708" w:equalWidth="1"/>
          <w:docGrid w:linePitch="360"/>
          <w:titlePg/>
        </w:sectPr>
      </w:pPr>
      <w:r/>
      <w:r/>
    </w:p>
    <w:tbl>
      <w:tblPr>
        <w:tblW w:w="1446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588"/>
        <w:gridCol w:w="1701"/>
        <w:gridCol w:w="1276"/>
        <w:gridCol w:w="1559"/>
        <w:gridCol w:w="1701"/>
        <w:gridCol w:w="1278"/>
        <w:gridCol w:w="1701"/>
      </w:tblGrid>
      <w:tr>
        <w:tblPrEx/>
        <w:trPr>
          <w:trHeight w:val="3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Наименование подпрограммы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Merge w:val="restart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Срок </w:t>
            </w:r>
            <w:r>
              <w:t xml:space="preserve">реали</w:t>
            </w:r>
            <w:r>
              <w:t xml:space="preserve">-</w:t>
            </w:r>
            <w:r>
              <w:br/>
            </w:r>
            <w:r>
              <w:t xml:space="preserve">зации</w:t>
            </w:r>
            <w:r>
              <w:t xml:space="preserve">, </w:t>
            </w:r>
            <w:r>
              <w:t xml:space="preserve">год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Объем </w:t>
            </w:r>
            <w:r>
              <w:t xml:space="preserve">финанси-рования</w:t>
            </w:r>
            <w:r>
              <w:t xml:space="preserve">, </w:t>
              <w:br/>
              <w:t xml:space="preserve">тыс. руб.</w:t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14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 том числе за счет средств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Соисполни</w:t>
            </w:r>
            <w:r>
              <w:t xml:space="preserve">-</w:t>
            </w:r>
            <w:r>
              <w:t xml:space="preserve">тели</w:t>
            </w:r>
            <w:r/>
          </w:p>
        </w:tc>
      </w:tr>
      <w:tr>
        <w:tblPrEx/>
        <w:trPr>
          <w:trHeight w:val="9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федераль-ного</w:t>
            </w:r>
            <w:r>
              <w:t xml:space="preserve"> бюджета (по </w:t>
            </w:r>
            <w:r>
              <w:t xml:space="preserve">согласо-ванию</w:t>
            </w:r>
            <w:r>
              <w:t xml:space="preserve">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областного бюджета (по </w:t>
            </w:r>
            <w:r>
              <w:t xml:space="preserve">согласова</w:t>
            </w:r>
            <w:r>
              <w:t xml:space="preserve">-</w:t>
            </w:r>
            <w:r>
              <w:t xml:space="preserve">нию</w:t>
            </w:r>
            <w:r>
              <w:t xml:space="preserve">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местного бюджета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spacing w:after="160"/>
            </w:pPr>
            <w:r>
              <w:t xml:space="preserve">внебюд-жетных источ-ников</w:t>
            </w:r>
            <w:r>
              <w:br/>
              <w:t xml:space="preserve">(по согласо-ванию (прогноз)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9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</w:t>
            </w:r>
            <w:r/>
          </w:p>
        </w:tc>
      </w:tr>
      <w:tr>
        <w:tblPrEx/>
        <w:trPr>
          <w:trHeight w:val="2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1. 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309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Подпрограмма 1 «Содержание и ремонт улично-дорожной сети и благоустройство внегородских территорий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101</w:t>
            </w:r>
            <w:r>
              <w:t xml:space="preserve"> 130,88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489,58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1 676,59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98 881,97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82,74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Отсутствуют</w:t>
            </w:r>
            <w:r/>
          </w:p>
        </w:tc>
      </w:tr>
      <w:tr>
        <w:tblPrEx/>
        <w:trPr>
          <w:trHeight w:val="2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35 946,45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489,58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9,99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35 364,14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82,74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36 520,50 </w:t>
            </w:r>
            <w:r>
              <w:t xml:space="preserve">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36 520,50 </w:t>
            </w:r>
            <w:r>
              <w:t xml:space="preserve">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28 730,25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27 063,65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</w:t>
            </w:r>
            <w:r>
              <w:br/>
              <w:t xml:space="preserve">(про</w:t>
            </w:r>
            <w:r>
              <w:t xml:space="preserve">гнозный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28 389,10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1 666,60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26 722,50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Merge w:val="restart"/>
            <w:textDirection w:val="lrTb"/>
            <w:noWrap w:val="false"/>
          </w:tcPr>
          <w:p>
            <w:r>
              <w:t xml:space="preserve">Подпрограмма 2 «</w:t>
            </w:r>
            <w:r>
              <w:t xml:space="preserve">Создание условий для развития субъектов малых форм хозяйствования и </w:t>
            </w:r>
            <w:r/>
          </w:p>
          <w:p>
            <w:r>
              <w:t xml:space="preserve">обеспечения граждан </w:t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180 939,83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6 831,01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174 108,82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Отсутствуют</w:t>
            </w:r>
            <w:r/>
          </w:p>
        </w:tc>
      </w:tr>
      <w:tr>
        <w:tblPrEx/>
        <w:trPr>
          <w:trHeight w:val="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76 428,71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2 527,30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73 901,41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69 288,92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2 143,71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67 145,21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3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0" w:type="dxa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35 222,20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2 160,00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33 062,20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90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9</w:t>
            </w:r>
            <w:r/>
          </w:p>
        </w:tc>
      </w:tr>
      <w:tr>
        <w:tblPrEx/>
        <w:trPr>
          <w:trHeight w:val="42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090" w:type="dxa"/>
            <w:textDirection w:val="lrTb"/>
            <w:noWrap w:val="false"/>
          </w:tcPr>
          <w:p>
            <w:pPr>
              <w:widowControl w:val="off"/>
            </w:pPr>
            <w:r>
              <w:t xml:space="preserve">внегородских территорий </w:t>
            </w:r>
            <w:r>
              <w:t xml:space="preserve">ЗАТО Северск коммунальными услугами</w:t>
            </w:r>
            <w:r>
              <w:t xml:space="preserve">»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</w:t>
            </w:r>
            <w:r/>
          </w:p>
          <w:p>
            <w:pPr>
              <w:jc w:val="center"/>
              <w:widowControl w:val="off"/>
            </w:pPr>
            <w:r>
              <w:t xml:space="preserve">(про</w:t>
            </w:r>
            <w:r>
              <w:t xml:space="preserve">гнозный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38 869,40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2 160,00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36 709,40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3.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09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Подпрограмма 3 «Обеспечивающая подпрограмма»</w:t>
            </w:r>
            <w:r/>
          </w:p>
          <w:p>
            <w:pPr>
              <w:spacing w:after="160" w:line="259" w:lineRule="auto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</w:r>
            <w:r>
              <w:rPr>
                <w:rFonts w:eastAsia="Calibri"/>
                <w:szCs w:val="22"/>
              </w:rPr>
            </w:r>
            <w:r>
              <w:rPr>
                <w:rFonts w:eastAsia="Calibri"/>
                <w:szCs w:val="22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49</w:t>
            </w:r>
            <w:r>
              <w:t xml:space="preserve"> 831,07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  <w:rPr>
                <w:b/>
              </w:rPr>
            </w:pPr>
            <w:r>
              <w:t xml:space="preserve">72,59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3 292,20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46</w:t>
            </w:r>
            <w:r>
              <w:t xml:space="preserve"> 466,27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spacing w:after="160"/>
            </w:pPr>
            <w:r>
              <w:t xml:space="preserve">Отсутствуют</w:t>
            </w:r>
            <w:r/>
          </w:p>
        </w:tc>
      </w:tr>
      <w:tr>
        <w:tblPrEx/>
        <w:trPr>
          <w:trHeight w:val="2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17 204,77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72,59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1 111,30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16 020,87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18 563,71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1 090,45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17 473,26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14 062,59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1 090,45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12 972,14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3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pPr>
              <w:widowControl w:val="off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</w:t>
            </w:r>
            <w:r>
              <w:br/>
              <w:t xml:space="preserve">(про</w:t>
            </w:r>
            <w:r>
              <w:t xml:space="preserve">гнозный период)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14 062,35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1 090,45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12 971,90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090" w:type="dxa"/>
            <w:vMerge w:val="restart"/>
            <w:textDirection w:val="lrTb"/>
            <w:noWrap w:val="false"/>
          </w:tcPr>
          <w:p>
            <w:pPr>
              <w:widowControl w:val="off"/>
            </w:pPr>
            <w:r>
              <w:t xml:space="preserve">Итого по Программе</w:t>
            </w:r>
            <w:r/>
          </w:p>
          <w:p>
            <w:r/>
            <w:r/>
          </w:p>
          <w:p>
            <w:r/>
            <w:r/>
          </w:p>
          <w:p>
            <w:pPr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</w:r>
            <w:r>
              <w:rPr>
                <w:rFonts w:eastAsia="Calibri"/>
                <w:szCs w:val="22"/>
              </w:rPr>
            </w:r>
            <w:r>
              <w:rPr>
                <w:rFonts w:eastAsia="Calibri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33</w:t>
            </w:r>
            <w:r>
              <w:t xml:space="preserve">1</w:t>
            </w:r>
            <w:bookmarkStart w:id="0" w:name="_GoBack"/>
            <w:r/>
            <w:bookmarkEnd w:id="0"/>
            <w:r>
              <w:t xml:space="preserve"> 901,77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562,17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11 799,80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319</w:t>
            </w:r>
            <w:r>
              <w:t xml:space="preserve"> 457,06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82,74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2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129 579,93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562,17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3 648,59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125 286,42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82,74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124 373,13 </w:t>
            </w:r>
            <w:r>
              <w:t xml:space="preserve">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3 234,16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121 138,97 </w:t>
            </w:r>
            <w:r>
              <w:t xml:space="preserve">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25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</w:t>
            </w: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78 015,04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4 917,05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73 097,99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spacing w:after="160"/>
            </w:pPr>
            <w:r/>
            <w:r/>
          </w:p>
        </w:tc>
      </w:tr>
      <w:tr>
        <w:tblPrEx/>
        <w:trPr>
          <w:trHeight w:val="44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9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8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2028</w:t>
            </w:r>
            <w:r>
              <w:br/>
              <w:t xml:space="preserve">(про</w:t>
            </w:r>
            <w:r>
              <w:t xml:space="preserve">гнозный период)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81 320,85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4 917,05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48"/>
              <w:jc w:val="right"/>
            </w:pPr>
            <w:r>
              <w:t xml:space="preserve">76 403,80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widowControl w:val="off"/>
            </w:pPr>
            <w: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ind w:firstLine="709"/>
        <w:jc w:val="both"/>
        <w:rPr>
          <w:rFonts w:ascii="PT Astra Serif" w:hAnsi="PT Astra Serif" w:eastAsia="Calibri" w:cs="PT Astra Serif"/>
          <w:lang w:eastAsia="en-US"/>
        </w:rPr>
      </w:pPr>
      <w:r>
        <w:rPr>
          <w:rFonts w:ascii="PT Astra Serif" w:hAnsi="PT Astra Serif" w:eastAsia="PT Astra Serif" w:cs="PT Astra Serif"/>
          <w:lang w:eastAsia="en-US"/>
        </w:rPr>
        <w:t xml:space="preserve">------------------------------</w:t>
      </w:r>
      <w:r>
        <w:rPr>
          <w:rFonts w:ascii="PT Astra Serif" w:hAnsi="PT Astra Serif" w:eastAsia="Calibri" w:cs="PT Astra Serif"/>
          <w:lang w:eastAsia="en-US"/>
        </w:rPr>
      </w:r>
      <w:r>
        <w:rPr>
          <w:rFonts w:ascii="PT Astra Serif" w:hAnsi="PT Astra Serif" w:eastAsia="Calibri" w:cs="PT Astra Serif"/>
          <w:lang w:eastAsia="en-US"/>
        </w:rPr>
      </w:r>
    </w:p>
    <w:p>
      <w:pPr>
        <w:ind w:left="0" w:right="397" w:firstLine="709"/>
        <w:jc w:val="both"/>
        <w:rPr>
          <w:rFonts w:eastAsia="PT Astra Serif"/>
        </w:rPr>
      </w:pPr>
      <w:r>
        <w:rPr>
          <w:rFonts w:eastAsia="PT Astra Serif"/>
        </w:rPr>
        <w:t xml:space="preserve">&lt;*&gt; </w:t>
      </w:r>
      <w:r>
        <w:rPr>
          <w:rFonts w:eastAsia="PT Astra Serif"/>
        </w:rPr>
        <w:t xml:space="preserve">О</w:t>
      </w:r>
      <w:r>
        <w:rPr>
          <w:rFonts w:eastAsia="PT Astra Serif"/>
        </w:rPr>
        <w:t xml:space="preserve">бъем финансирования включает в 2026 году неиспользованный остаток средств местного бюджета 2025 года в сумме</w:t>
        <w:br/>
      </w:r>
      <w:r>
        <w:rPr>
          <w:rFonts w:eastAsia="PT Astra Serif"/>
        </w:rPr>
        <w:t xml:space="preserve">66,32</w:t>
      </w:r>
      <w:r>
        <w:rPr>
          <w:rFonts w:eastAsia="PT Astra Serif"/>
        </w:rPr>
        <w:t xml:space="preserve"> тыс. руб.</w:t>
      </w:r>
      <w:r>
        <w:rPr>
          <w:rFonts w:eastAsia="PT Astra Serif"/>
        </w:rPr>
      </w:r>
      <w:r>
        <w:rPr>
          <w:rFonts w:eastAsia="PT Astra Serif"/>
        </w:rPr>
      </w:r>
    </w:p>
    <w:p>
      <w:pPr>
        <w:ind w:left="0" w:right="397" w:firstLine="709"/>
        <w:jc w:val="both"/>
        <w:rPr>
          <w:rFonts w:eastAsia="Calibri"/>
          <w:lang w:eastAsia="en-US"/>
        </w:rPr>
      </w:pPr>
      <w:r>
        <w:rPr>
          <w:rFonts w:eastAsia="PT Astra Serif"/>
        </w:rPr>
      </w:r>
      <w:r>
        <w:rPr>
          <w:rFonts w:eastAsia="PT Astra Serif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</w:t>
      </w:r>
      <w:r>
        <w:rPr>
          <w:rFonts w:eastAsia="PT Astra Serif"/>
        </w:rPr>
        <w:t xml:space="preserve">»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left="0" w:right="397" w:firstLine="709"/>
      </w:pPr>
      <w:r/>
      <w:r/>
    </w:p>
    <w:sectPr>
      <w:headerReference w:type="default" r:id="rId11"/>
      <w:headerReference w:type="even" r:id="rId12"/>
      <w:footnotePr/>
      <w:endnotePr/>
      <w:type w:val="continuous"/>
      <w:pgSz w:w="16838" w:h="11906" w:orient="landscape"/>
      <w:pgMar w:top="1701" w:right="567" w:bottom="567" w:left="1134" w:header="709" w:footer="28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5"/>
      <w:ind w:left="-426"/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0379081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rPr>
        <w:rStyle w:val="943"/>
      </w:rPr>
      <w:framePr w:wrap="around" w:vAnchor="text" w:hAnchor="margin" w:xAlign="center" w:y="1"/>
    </w:pPr>
    <w:r>
      <w:rPr>
        <w:rStyle w:val="943"/>
      </w:rPr>
      <w:fldChar w:fldCharType="begin"/>
    </w:r>
    <w:r>
      <w:rPr>
        <w:rStyle w:val="943"/>
      </w:rPr>
      <w:instrText xml:space="preserve">PAGE  </w:instrText>
    </w:r>
    <w:r>
      <w:rPr>
        <w:rStyle w:val="943"/>
      </w:rPr>
      <w:fldChar w:fldCharType="separate"/>
    </w:r>
    <w:r>
      <w:rPr>
        <w:rStyle w:val="943"/>
      </w:rPr>
      <w:t xml:space="preserve">3</w:t>
    </w:r>
    <w:r>
      <w:rPr>
        <w:rStyle w:val="943"/>
      </w:rPr>
      <w:fldChar w:fldCharType="end"/>
    </w:r>
    <w:r>
      <w:rPr>
        <w:rStyle w:val="943"/>
      </w:rPr>
    </w:r>
    <w:r>
      <w:rPr>
        <w:rStyle w:val="943"/>
      </w:rPr>
    </w:r>
  </w:p>
  <w:p>
    <w:pPr>
      <w:pStyle w:val="94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rPr>
        <w:rStyle w:val="943"/>
      </w:rPr>
      <w:framePr w:wrap="around" w:vAnchor="text" w:hAnchor="margin" w:xAlign="center" w:y="1"/>
    </w:pPr>
    <w:r>
      <w:rPr>
        <w:rStyle w:val="943"/>
      </w:rPr>
      <w:fldChar w:fldCharType="begin"/>
    </w:r>
    <w:r>
      <w:rPr>
        <w:rStyle w:val="943"/>
      </w:rPr>
      <w:instrText xml:space="preserve">PAGE  </w:instrText>
    </w:r>
    <w:r>
      <w:rPr>
        <w:rStyle w:val="943"/>
      </w:rPr>
      <w:fldChar w:fldCharType="end"/>
    </w:r>
    <w:r>
      <w:rPr>
        <w:rStyle w:val="943"/>
      </w:rPr>
    </w:r>
    <w:r>
      <w:rPr>
        <w:rStyle w:val="943"/>
      </w:rPr>
    </w:r>
  </w:p>
  <w:p>
    <w:pPr>
      <w:pStyle w:val="94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jc w:val="center"/>
    </w:pPr>
    <w:r/>
    <w:r/>
  </w:p>
  <w:p>
    <w:pPr>
      <w:pStyle w:val="942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jc w:val="center"/>
    </w:pPr>
    <w:r>
      <w:instrText xml:space="preserve">PAGE   \* MERGEFORMAT</w:instrText>
      <w:t xml:space="preserve">2</w:t>
    </w:r>
    <w:r/>
  </w:p>
  <w:p>
    <w:pPr>
      <w:pStyle w:val="942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2"/>
      <w:rPr>
        <w:rStyle w:val="943"/>
      </w:rPr>
      <w:framePr w:wrap="around" w:vAnchor="text" w:hAnchor="margin" w:xAlign="center" w:y="1"/>
    </w:pPr>
    <w:r>
      <w:rPr>
        <w:rStyle w:val="943"/>
      </w:rPr>
      <w:fldChar w:fldCharType="begin"/>
    </w:r>
    <w:r>
      <w:rPr>
        <w:rStyle w:val="943"/>
      </w:rPr>
      <w:instrText xml:space="preserve">PAGE  </w:instrText>
    </w:r>
    <w:r>
      <w:rPr>
        <w:rStyle w:val="943"/>
      </w:rPr>
      <w:fldChar w:fldCharType="end"/>
    </w:r>
    <w:r>
      <w:rPr>
        <w:rStyle w:val="943"/>
      </w:rPr>
    </w:r>
    <w:r>
      <w:rPr>
        <w:rStyle w:val="943"/>
      </w:rPr>
    </w:r>
  </w:p>
  <w:p>
    <w:pPr>
      <w:pStyle w:val="942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1">
    <w:name w:val="Heading 1"/>
    <w:basedOn w:val="936"/>
    <w:next w:val="936"/>
    <w:link w:val="76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62">
    <w:name w:val="Heading 1 Char"/>
    <w:basedOn w:val="938"/>
    <w:link w:val="76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63">
    <w:name w:val="Heading 2"/>
    <w:basedOn w:val="936"/>
    <w:next w:val="936"/>
    <w:link w:val="76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64">
    <w:name w:val="Heading 2 Char"/>
    <w:basedOn w:val="938"/>
    <w:link w:val="763"/>
    <w:uiPriority w:val="9"/>
    <w:rPr>
      <w:rFonts w:ascii="Liberation Sans" w:hAnsi="Liberation Sans" w:eastAsia="Liberation Sans" w:cs="Liberation Sans"/>
      <w:sz w:val="34"/>
    </w:rPr>
  </w:style>
  <w:style w:type="character" w:styleId="765">
    <w:name w:val="Heading 3 Char"/>
    <w:basedOn w:val="938"/>
    <w:link w:val="93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66">
    <w:name w:val="Heading 4"/>
    <w:basedOn w:val="936"/>
    <w:next w:val="936"/>
    <w:link w:val="76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7">
    <w:name w:val="Heading 4 Char"/>
    <w:basedOn w:val="938"/>
    <w:link w:val="76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8">
    <w:name w:val="Heading 5"/>
    <w:basedOn w:val="936"/>
    <w:next w:val="936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9">
    <w:name w:val="Heading 5 Char"/>
    <w:basedOn w:val="938"/>
    <w:link w:val="76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0">
    <w:name w:val="Heading 6"/>
    <w:basedOn w:val="936"/>
    <w:next w:val="936"/>
    <w:link w:val="77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1">
    <w:name w:val="Heading 6 Char"/>
    <w:basedOn w:val="938"/>
    <w:link w:val="7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72">
    <w:name w:val="Heading 7"/>
    <w:basedOn w:val="936"/>
    <w:next w:val="936"/>
    <w:link w:val="77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3">
    <w:name w:val="Heading 7 Char"/>
    <w:basedOn w:val="938"/>
    <w:link w:val="77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74">
    <w:name w:val="Heading 8"/>
    <w:basedOn w:val="936"/>
    <w:next w:val="936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5">
    <w:name w:val="Heading 8 Char"/>
    <w:basedOn w:val="938"/>
    <w:link w:val="7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6">
    <w:name w:val="Heading 9"/>
    <w:basedOn w:val="936"/>
    <w:next w:val="936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7">
    <w:name w:val="Heading 9 Char"/>
    <w:basedOn w:val="938"/>
    <w:link w:val="7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8">
    <w:name w:val="List Paragraph"/>
    <w:basedOn w:val="936"/>
    <w:uiPriority w:val="34"/>
    <w:qFormat/>
    <w:pPr>
      <w:contextualSpacing/>
      <w:ind w:left="720"/>
    </w:pPr>
  </w:style>
  <w:style w:type="paragraph" w:styleId="779">
    <w:name w:val="No Spacing"/>
    <w:uiPriority w:val="1"/>
    <w:qFormat/>
    <w:pPr>
      <w:spacing w:before="0" w:after="0" w:line="240" w:lineRule="auto"/>
    </w:pPr>
  </w:style>
  <w:style w:type="paragraph" w:styleId="780">
    <w:name w:val="Title"/>
    <w:basedOn w:val="936"/>
    <w:next w:val="936"/>
    <w:link w:val="7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1">
    <w:name w:val="Title Char"/>
    <w:basedOn w:val="938"/>
    <w:link w:val="780"/>
    <w:uiPriority w:val="10"/>
    <w:rPr>
      <w:sz w:val="48"/>
      <w:szCs w:val="48"/>
    </w:rPr>
  </w:style>
  <w:style w:type="paragraph" w:styleId="782">
    <w:name w:val="Subtitle"/>
    <w:basedOn w:val="936"/>
    <w:next w:val="936"/>
    <w:link w:val="783"/>
    <w:uiPriority w:val="11"/>
    <w:qFormat/>
    <w:pPr>
      <w:spacing w:before="200" w:after="200"/>
    </w:pPr>
    <w:rPr>
      <w:sz w:val="24"/>
      <w:szCs w:val="24"/>
    </w:rPr>
  </w:style>
  <w:style w:type="character" w:styleId="783">
    <w:name w:val="Subtitle Char"/>
    <w:basedOn w:val="938"/>
    <w:link w:val="782"/>
    <w:uiPriority w:val="11"/>
    <w:rPr>
      <w:sz w:val="24"/>
      <w:szCs w:val="24"/>
    </w:rPr>
  </w:style>
  <w:style w:type="paragraph" w:styleId="784">
    <w:name w:val="Quote"/>
    <w:basedOn w:val="936"/>
    <w:next w:val="936"/>
    <w:link w:val="785"/>
    <w:uiPriority w:val="29"/>
    <w:qFormat/>
    <w:pPr>
      <w:ind w:left="720" w:right="720"/>
    </w:pPr>
    <w:rPr>
      <w:i/>
    </w:rPr>
  </w:style>
  <w:style w:type="character" w:styleId="785">
    <w:name w:val="Quote Char"/>
    <w:link w:val="784"/>
    <w:uiPriority w:val="29"/>
    <w:rPr>
      <w:i/>
    </w:rPr>
  </w:style>
  <w:style w:type="paragraph" w:styleId="786">
    <w:name w:val="Intense Quote"/>
    <w:basedOn w:val="936"/>
    <w:next w:val="936"/>
    <w:link w:val="7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7">
    <w:name w:val="Intense Quote Char"/>
    <w:link w:val="786"/>
    <w:uiPriority w:val="30"/>
    <w:rPr>
      <w:i/>
    </w:rPr>
  </w:style>
  <w:style w:type="character" w:styleId="788">
    <w:name w:val="Header Char"/>
    <w:basedOn w:val="938"/>
    <w:link w:val="942"/>
    <w:uiPriority w:val="99"/>
  </w:style>
  <w:style w:type="character" w:styleId="789">
    <w:name w:val="Footer Char"/>
    <w:basedOn w:val="938"/>
    <w:link w:val="945"/>
    <w:uiPriority w:val="99"/>
  </w:style>
  <w:style w:type="paragraph" w:styleId="790">
    <w:name w:val="Caption"/>
    <w:basedOn w:val="936"/>
    <w:next w:val="936"/>
    <w:link w:val="7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1">
    <w:name w:val="Caption Char"/>
    <w:basedOn w:val="938"/>
    <w:link w:val="790"/>
    <w:uiPriority w:val="35"/>
    <w:rPr>
      <w:b/>
      <w:bCs/>
      <w:color w:val="4f81bd" w:themeColor="accent1"/>
      <w:sz w:val="18"/>
      <w:szCs w:val="18"/>
    </w:rPr>
  </w:style>
  <w:style w:type="table" w:styleId="792">
    <w:name w:val="Table Grid"/>
    <w:basedOn w:val="9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>
    <w:name w:val="Table Grid Light"/>
    <w:basedOn w:val="9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>
    <w:name w:val="Plain Table 1"/>
    <w:basedOn w:val="9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5">
    <w:name w:val="Plain Table 2"/>
    <w:basedOn w:val="9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6">
    <w:name w:val="Plain Table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>
    <w:name w:val="Grid Table 4 - Accent 1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2">
    <w:name w:val="Grid Table 4 - Accent 2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Grid Table 4 - Accent 3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4">
    <w:name w:val="Grid Table 4 - Accent 4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Grid Table 4 - Accent 5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6">
    <w:name w:val="Grid Table 4 - Accent 6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7">
    <w:name w:val="Grid Table 5 Dark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8">
    <w:name w:val="Grid Table 5 Dark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1">
    <w:name w:val="Grid Table 5 Dark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4">
    <w:name w:val="Grid Table 6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35">
    <w:name w:val="Grid Table 6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36">
    <w:name w:val="Grid Table 6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37">
    <w:name w:val="Grid Table 6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38">
    <w:name w:val="Grid Table 6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39">
    <w:name w:val="Grid Table 6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40">
    <w:name w:val="Grid Table 6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41">
    <w:name w:val="Grid Table 7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6">
    <w:name w:val="List Table 2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7">
    <w:name w:val="List Table 2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8">
    <w:name w:val="List Table 2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9">
    <w:name w:val="List Table 2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0">
    <w:name w:val="List Table 2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1">
    <w:name w:val="List Table 2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7">
    <w:name w:val="List Table 5 Dark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8">
    <w:name w:val="List Table 5 Dark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79">
    <w:name w:val="List Table 5 Dark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0">
    <w:name w:val="List Table 5 Dark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1">
    <w:name w:val="List Table 5 Dark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2">
    <w:name w:val="List Table 5 Dark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3">
    <w:name w:val="List Table 6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4">
    <w:name w:val="List Table 6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5">
    <w:name w:val="List Table 6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6">
    <w:name w:val="List Table 6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7">
    <w:name w:val="List Table 6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8">
    <w:name w:val="List Table 6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9">
    <w:name w:val="List Table 6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0">
    <w:name w:val="List Table 7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91">
    <w:name w:val="List Table 7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92">
    <w:name w:val="List Table 7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93">
    <w:name w:val="List Table 7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94">
    <w:name w:val="List Table 7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95">
    <w:name w:val="List Table 7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96">
    <w:name w:val="List Table 7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97">
    <w:name w:val="Lined - Accent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Lined - Accent 1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99">
    <w:name w:val="Lined - Accent 2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0">
    <w:name w:val="Lined - Accent 3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1">
    <w:name w:val="Lined - Accent 4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2">
    <w:name w:val="Lined - Accent 5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3">
    <w:name w:val="Lined - Accent 6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4">
    <w:name w:val="Bordered &amp; Lined - Accent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5">
    <w:name w:val="Bordered &amp; Lined - Accent 1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6">
    <w:name w:val="Bordered &amp; Lined - Accent 2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7">
    <w:name w:val="Bordered &amp; Lined - Accent 3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8">
    <w:name w:val="Bordered &amp; Lined - Accent 4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9">
    <w:name w:val="Bordered &amp; Lined - Accent 5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0">
    <w:name w:val="Bordered &amp; Lined - Accent 6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1">
    <w:name w:val="Bordered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2">
    <w:name w:val="Bordered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3">
    <w:name w:val="Bordered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4">
    <w:name w:val="Bordered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5">
    <w:name w:val="Bordered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6">
    <w:name w:val="Bordered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7">
    <w:name w:val="Bordered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8">
    <w:name w:val="Hyperlink"/>
    <w:uiPriority w:val="99"/>
    <w:unhideWhenUsed/>
    <w:rPr>
      <w:color w:val="0000ff" w:themeColor="hyperlink"/>
      <w:u w:val="single"/>
    </w:r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38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38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  <w:rPr>
      <w:sz w:val="24"/>
      <w:szCs w:val="24"/>
    </w:rPr>
  </w:style>
  <w:style w:type="paragraph" w:styleId="937">
    <w:name w:val="Heading 3"/>
    <w:basedOn w:val="936"/>
    <w:link w:val="941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938" w:default="1">
    <w:name w:val="Default Paragraph Font"/>
    <w:uiPriority w:val="1"/>
    <w:semiHidden/>
    <w:unhideWhenUsed/>
  </w:style>
  <w:style w:type="table" w:styleId="9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0" w:default="1">
    <w:name w:val="No List"/>
    <w:uiPriority w:val="99"/>
    <w:semiHidden/>
    <w:unhideWhenUsed/>
  </w:style>
  <w:style w:type="character" w:styleId="941" w:customStyle="1">
    <w:name w:val="Заголовок 3 Знак"/>
    <w:link w:val="937"/>
    <w:rPr>
      <w:b/>
      <w:bCs/>
      <w:sz w:val="27"/>
      <w:szCs w:val="27"/>
      <w:lang w:val="ru-RU" w:eastAsia="ru-RU" w:bidi="ar-SA"/>
    </w:rPr>
  </w:style>
  <w:style w:type="paragraph" w:styleId="942">
    <w:name w:val="Header"/>
    <w:basedOn w:val="936"/>
    <w:link w:val="947"/>
    <w:uiPriority w:val="99"/>
    <w:pPr>
      <w:tabs>
        <w:tab w:val="center" w:pos="4677" w:leader="none"/>
        <w:tab w:val="right" w:pos="9355" w:leader="none"/>
      </w:tabs>
    </w:pPr>
  </w:style>
  <w:style w:type="character" w:styleId="943">
    <w:name w:val="page number"/>
    <w:basedOn w:val="938"/>
  </w:style>
  <w:style w:type="paragraph" w:styleId="944">
    <w:name w:val="Balloon Text"/>
    <w:basedOn w:val="936"/>
    <w:semiHidden/>
    <w:rPr>
      <w:rFonts w:ascii="Tahoma" w:hAnsi="Tahoma" w:cs="Tahoma"/>
      <w:sz w:val="16"/>
      <w:szCs w:val="16"/>
    </w:rPr>
  </w:style>
  <w:style w:type="paragraph" w:styleId="945">
    <w:name w:val="Footer"/>
    <w:basedOn w:val="936"/>
    <w:link w:val="946"/>
    <w:uiPriority w:val="99"/>
    <w:pPr>
      <w:tabs>
        <w:tab w:val="center" w:pos="4677" w:leader="none"/>
        <w:tab w:val="right" w:pos="9355" w:leader="none"/>
      </w:tabs>
    </w:pPr>
  </w:style>
  <w:style w:type="character" w:styleId="946" w:customStyle="1">
    <w:name w:val="Нижний колонтитул Знак"/>
    <w:link w:val="945"/>
    <w:uiPriority w:val="99"/>
    <w:rPr>
      <w:sz w:val="24"/>
      <w:szCs w:val="24"/>
    </w:rPr>
  </w:style>
  <w:style w:type="character" w:styleId="947" w:customStyle="1">
    <w:name w:val="Верхний колонтитул Знак"/>
    <w:link w:val="942"/>
    <w:uiPriority w:val="99"/>
    <w:rPr>
      <w:sz w:val="24"/>
      <w:szCs w:val="24"/>
    </w:rPr>
  </w:style>
  <w:style w:type="paragraph" w:styleId="948" w:customStyle="1">
    <w:name w:val="ConsPlusNormal"/>
    <w:link w:val="949"/>
    <w:pPr>
      <w:widowControl w:val="off"/>
    </w:pPr>
    <w:rPr>
      <w:sz w:val="24"/>
      <w:szCs w:val="24"/>
    </w:rPr>
  </w:style>
  <w:style w:type="character" w:styleId="949" w:customStyle="1">
    <w:name w:val="ConsPlusNormal Знак"/>
    <w:link w:val="948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C9D77-918C-48FF-831B-CB0F9F2ED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15</cp:revision>
  <dcterms:created xsi:type="dcterms:W3CDTF">2026-06-25T02:09:00Z</dcterms:created>
  <dcterms:modified xsi:type="dcterms:W3CDTF">2026-07-31T04:50:09Z</dcterms:modified>
</cp:coreProperties>
</file>