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89"/>
        <w:tblW w:w="1546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0962"/>
        <w:gridCol w:w="2645"/>
        <w:gridCol w:w="1859"/>
      </w:tblGrid>
      <w:tr>
        <w:tblPrEx/>
        <w:trPr>
          <w:gridBefore w:val="1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04" w:type="dxa"/>
            <w:textDirection w:val="lrTb"/>
            <w:noWrap w:val="false"/>
          </w:tcPr>
          <w:p>
            <w:pPr>
              <w:ind w:left="176" w:hanging="176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Приложение 8</w:t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ind w:left="176" w:hanging="176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Cs w:val="24"/>
              </w:rPr>
              <w:t xml:space="preserve">к постановлению</w:t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ind w:left="176" w:hanging="176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</w:r>
            <w:r>
              <w:rPr>
                <w:rFonts w:ascii="Times New Roman" w:hAnsi="Times New Roman" w:cs="Times New Roman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lang w:val="en-US"/>
              </w:rPr>
            </w:r>
            <w:r>
              <w:rPr>
                <w:rFonts w:ascii="Times New Roman" w:hAnsi="Times New Roman" w:cs="Times New Roman"/>
                <w:lang w:val="en-US"/>
              </w:rPr>
            </w:r>
          </w:p>
          <w:p>
            <w:pPr>
              <w:ind w:left="176" w:hanging="176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</w:rPr>
              <w:t xml:space="preserve">от _</w:t>
            </w:r>
            <w:r>
              <w:rPr>
                <w:rFonts w:ascii="Times New Roman" w:hAnsi="Times New Roman" w:cs="Times New Roman"/>
              </w:rPr>
              <w:t xml:space="preserve">_04.08.2026</w:t>
            </w:r>
            <w:r>
              <w:rPr>
                <w:rFonts w:ascii="Times New Roman" w:hAnsi="Times New Roman" w:cs="Times New Roman"/>
              </w:rPr>
              <w:t xml:space="preserve">__№___1590-па_</w:t>
            </w:r>
            <w:r>
              <w:rPr>
                <w:rFonts w:ascii="Times New Roman" w:hAnsi="Times New Roman" w:cs="Times New Roman"/>
              </w:rPr>
              <w:t xml:space="preserve">__</w:t>
            </w:r>
            <w:r/>
            <w:r>
              <w:rPr>
                <w:rFonts w:ascii="Times New Roman" w:hAnsi="Times New Roman" w:cs="Times New Roman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ind w:left="176" w:hanging="176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lang w:val="en-US"/>
              </w:rPr>
            </w:r>
          </w:p>
        </w:tc>
      </w:tr>
      <w:tr>
        <w:tblPrEx/>
        <w:trPr>
          <w:gridAfter w:val="1"/>
          <w:trHeight w:val="178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60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</w:tbl>
    <w:p>
      <w:pPr>
        <w:jc w:val="center"/>
        <w:widowControl w:val="off"/>
        <w:rPr>
          <w:rFonts w:ascii="Times New Roman" w:hAnsi="Times New Roman"/>
          <w:szCs w:val="24"/>
        </w:rPr>
        <w:outlineLvl w:val="2"/>
      </w:pPr>
      <w:r>
        <w:rPr>
          <w:rFonts w:ascii="Times New Roman" w:hAnsi="Times New Roman"/>
          <w:szCs w:val="24"/>
        </w:rPr>
        <w:t xml:space="preserve">«</w:t>
      </w:r>
      <w:r>
        <w:rPr>
          <w:rFonts w:ascii="Times New Roman" w:hAnsi="Times New Roman"/>
          <w:szCs w:val="24"/>
        </w:rPr>
        <w:t xml:space="preserve">П</w:t>
      </w:r>
      <w:r>
        <w:rPr>
          <w:rFonts w:ascii="Times New Roman" w:hAnsi="Times New Roman"/>
          <w:szCs w:val="24"/>
        </w:rPr>
        <w:t xml:space="preserve">ЕРЕЧЕНЬ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jc w:val="center"/>
        <w:widowControl w:val="off"/>
        <w:rPr>
          <w:rFonts w:ascii="Times New Roman" w:hAnsi="Times New Roman" w:cs="Times New Roman"/>
          <w:szCs w:val="24"/>
        </w:rPr>
        <w:outlineLvl w:val="2"/>
      </w:pPr>
      <w:r>
        <w:rPr>
          <w:rFonts w:ascii="Times New Roman" w:hAnsi="Times New Roman" w:cs="Times New Roman"/>
          <w:szCs w:val="24"/>
        </w:rPr>
        <w:t xml:space="preserve">структурных элементов и ресурсное </w:t>
      </w:r>
      <w:r>
        <w:rPr>
          <w:rFonts w:ascii="Times New Roman" w:hAnsi="Times New Roman" w:cs="Times New Roman"/>
          <w:szCs w:val="24"/>
        </w:rPr>
        <w:t xml:space="preserve">обеспечение </w:t>
      </w:r>
      <w:r>
        <w:rPr>
          <w:rFonts w:ascii="Times New Roman" w:hAnsi="Times New Roman" w:cs="Times New Roman"/>
          <w:szCs w:val="24"/>
        </w:rPr>
        <w:t xml:space="preserve">подпрограммы 2 «Благоустройство города Северска»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center"/>
        <w:widowControl w:val="off"/>
        <w:rPr>
          <w:rFonts w:ascii="Times New Roman" w:hAnsi="Times New Roman" w:cs="Times New Roman"/>
          <w:szCs w:val="24"/>
        </w:rPr>
        <w:outlineLvl w:val="2"/>
      </w:pPr>
      <w:r>
        <w:rPr>
          <w:rFonts w:ascii="Times New Roman" w:hAnsi="Times New Roman" w:cs="Times New Roman"/>
          <w:szCs w:val="24"/>
        </w:rPr>
        <w:t xml:space="preserve"> муниципальной программы «Улучшение качественного состояния объектов благоустройства и озеленения города Северска»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Таблица </w:t>
      </w:r>
      <w:r>
        <w:rPr>
          <w:rFonts w:ascii="Times New Roman" w:hAnsi="Times New Roman" w:cs="Times New Roman"/>
          <w:szCs w:val="24"/>
        </w:rPr>
        <w:t xml:space="preserve">2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tbl>
      <w:tblPr>
        <w:tblStyle w:val="889"/>
        <w:tblW w:w="15100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699"/>
        <w:gridCol w:w="1985"/>
        <w:gridCol w:w="854"/>
        <w:gridCol w:w="1555"/>
        <w:gridCol w:w="993"/>
        <w:gridCol w:w="1247"/>
        <w:gridCol w:w="1418"/>
        <w:gridCol w:w="1133"/>
        <w:gridCol w:w="1559"/>
        <w:gridCol w:w="2297"/>
        <w:gridCol w:w="1360"/>
      </w:tblGrid>
      <w:tr>
        <w:tblPrEx/>
        <w:trPr>
          <w:trHeight w:val="408"/>
        </w:trPr>
        <w:tc>
          <w:tcPr>
            <w:tcBorders>
              <w:bottom w:val="none" w:color="000000" w:sz="4" w:space="0"/>
            </w:tcBorders>
            <w:tcW w:w="69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№ п/п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bottom w:val="non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Наименования задачи подпрограммы, структурного элемента, мероприятия приоритетного проекта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bottom w:val="none" w:color="000000" w:sz="4" w:space="0"/>
            </w:tcBorders>
            <w:tcW w:w="85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Срок реа-лиза-ции,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br/>
              <w:t xml:space="preserve">год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bottom w:val="none" w:color="000000" w:sz="4" w:space="0"/>
            </w:tcBorders>
            <w:tcW w:w="155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Объем финанси-рования, тыс. руб.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gridSpan w:val="4"/>
            <w:tcBorders>
              <w:bottom w:val="single" w:color="auto" w:sz="4" w:space="0"/>
            </w:tcBorders>
            <w:tcW w:w="47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 том числе за счет средств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Участники подпрограм-мы, участники мероп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-ри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ятия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gridSpan w:val="2"/>
            <w:tcW w:w="365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Показатели конечного результата структурного элемента, мероприятия приоритетного проекта по годам реализации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020"/>
        </w:trPr>
        <w:tc>
          <w:tcPr>
            <w:tcBorders>
              <w:bottom w:val="none" w:color="000000" w:sz="4" w:space="0"/>
            </w:tcBorders>
            <w:tcW w:w="69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8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155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феде-раль-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br/>
              <w:t xml:space="preserve">ного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бюд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жета (по согла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-с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ова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нию (прог-ноз)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bottom w:val="none" w:color="000000" w:sz="4" w:space="0"/>
            </w:tcBorders>
            <w:tcW w:w="124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област-ного бюджета (по согласо-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br/>
              <w:t xml:space="preserve">ванию (прогноз)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bottom w:val="non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местного бюджета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bottom w:val="none" w:color="000000" w:sz="4" w:space="0"/>
            </w:tcBorders>
            <w:tcW w:w="113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не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бюд-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br/>
              <w:t xml:space="preserve">жетных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источ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ников (по согла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сова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нию (прог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ноз)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W w:w="365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1301"/>
        </w:trPr>
        <w:tc>
          <w:tcPr>
            <w:tcBorders>
              <w:bottom w:val="none" w:color="000000" w:sz="4" w:space="0"/>
            </w:tcBorders>
            <w:tcW w:w="69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8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155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124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113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наименование и единица измерения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bottom w:val="none" w:color="000000" w:sz="4" w:space="0"/>
            </w:tcBorders>
            <w:tcW w:w="13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значения по годам реализа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ции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</w:tbl>
    <w:p>
      <w:pPr>
        <w:jc w:val="center"/>
        <w:rPr>
          <w:rFonts w:ascii="Times New Roman" w:hAnsi="Times New Roman" w:cs="Times New Roman"/>
          <w:sz w:val="2"/>
          <w:szCs w:val="2"/>
          <w:highlight w:val="white"/>
        </w:rPr>
      </w:pPr>
      <w:r>
        <w:rPr>
          <w:rFonts w:ascii="Times New Roman" w:hAnsi="Times New Roman" w:eastAsia="Times New Roman" w:cs="Times New Roman"/>
          <w:sz w:val="2"/>
          <w:szCs w:val="2"/>
          <w:highlight w:val="white"/>
        </w:rPr>
      </w:r>
      <w:r>
        <w:rPr>
          <w:rFonts w:ascii="Times New Roman" w:hAnsi="Times New Roman" w:cs="Times New Roman"/>
          <w:sz w:val="2"/>
          <w:szCs w:val="2"/>
          <w:highlight w:val="white"/>
        </w:rPr>
      </w:r>
      <w:r>
        <w:rPr>
          <w:rFonts w:ascii="Times New Roman" w:hAnsi="Times New Roman" w:cs="Times New Roman"/>
          <w:sz w:val="2"/>
          <w:szCs w:val="2"/>
          <w:highlight w:val="white"/>
        </w:rPr>
      </w:r>
    </w:p>
    <w:tbl>
      <w:tblPr>
        <w:tblStyle w:val="889"/>
        <w:tblW w:w="15098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698"/>
        <w:gridCol w:w="1986"/>
        <w:gridCol w:w="854"/>
        <w:gridCol w:w="1555"/>
        <w:gridCol w:w="993"/>
        <w:gridCol w:w="1247"/>
        <w:gridCol w:w="1418"/>
        <w:gridCol w:w="1133"/>
        <w:gridCol w:w="1559"/>
        <w:gridCol w:w="2297"/>
        <w:gridCol w:w="1358"/>
      </w:tblGrid>
      <w:tr>
        <w:tblPrEx/>
        <w:trPr>
          <w:trHeight w:val="315"/>
          <w:tblHeader/>
        </w:trPr>
        <w:tc>
          <w:tcPr>
            <w:tcW w:w="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9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4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24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6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7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8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9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11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tcW w:w="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gridSpan w:val="10"/>
            <w:tcW w:w="1440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Задача 1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Текущее содержание и ремонт объектов благоустройств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а на территории города Северска»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подпрограммы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381"/>
        </w:trPr>
        <w:tc>
          <w:tcPr>
            <w:tcBorders>
              <w:right w:val="single" w:color="auto" w:sz="4" w:space="0"/>
            </w:tcBorders>
            <w:tcW w:w="69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1.1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КПМ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Текущее содержание и ремонт объектов благоустройства на территории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351 833,74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24 591,70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327 242,04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УЖКХ ТиС, МБЭУ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left w:val="single" w:color="auto" w:sz="4" w:space="0"/>
            </w:tcBorders>
            <w:tcW w:w="13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945"/>
        </w:trPr>
        <w:tc>
          <w:tcPr>
            <w:tcBorders>
              <w:right w:val="single" w:color="auto" w:sz="4" w:space="0"/>
            </w:tcBorders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139 218,99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10 087,80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129 131,19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Количество мусора, вывезенного на полигон ТКО, т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9205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1673"/>
        </w:trPr>
        <w:tc>
          <w:tcPr>
            <w:tcBorders>
              <w:right w:val="single" w:color="auto" w:sz="4" w:space="0"/>
            </w:tcBorders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 Количество 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</w:rPr>
              <w:t xml:space="preserve">объектов, оформлен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</w:rPr>
              <w:t xml:space="preserve">ных для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проведения праздничных меро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</w:rPr>
              <w:t xml:space="preserve">приятий (суммарное за год),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left w:val="single" w:color="auto" w:sz="4" w:space="0"/>
            </w:tcBorders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22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851"/>
        </w:trPr>
        <w:tc>
          <w:tcPr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8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3. Количество 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</w:rPr>
              <w:t xml:space="preserve">отремонтированных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объектов благоустройства,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945"/>
        </w:trPr>
        <w:tc>
          <w:tcPr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157 940,63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14 503,90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143 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13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Количество мусора, вывезенного на полигон ТКО, т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1250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588"/>
        </w:trPr>
        <w:tc>
          <w:tcPr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 Количество 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</w:rPr>
              <w:t xml:space="preserve">объектов, оформлен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</w:rPr>
              <w:t xml:space="preserve">ных для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проведения праздничных меро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</w:rPr>
              <w:t xml:space="preserve">приятий (суммарное за год),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22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769"/>
        </w:trPr>
        <w:tc>
          <w:tcPr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3. Количество 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</w:rPr>
              <w:t xml:space="preserve">отремонтированных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объектов благоустройства,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523"/>
        </w:trPr>
        <w:tc>
          <w:tcPr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54 674,12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54 674,12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13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Количество мусора, вывезенного на полигон ТКО, т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800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665"/>
        </w:trPr>
        <w:tc>
          <w:tcPr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 Количество 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</w:rPr>
              <w:t xml:space="preserve">объектов, оформлен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</w:rPr>
              <w:t xml:space="preserve">ных для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проведения праздничных меро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</w:rPr>
              <w:t xml:space="preserve">приятий (суммарное за год),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806"/>
        </w:trPr>
        <w:tc>
          <w:tcPr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3. Количество 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</w:rPr>
              <w:t xml:space="preserve">отремонтированных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объектов благоустройства,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945"/>
        </w:trPr>
        <w:tc>
          <w:tcPr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2028 (прог-ноз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ный пери-од)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54 536,48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4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54 536,48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13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Количество мусора, вывезенного на полигон ТКО, т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800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584"/>
        </w:trPr>
        <w:tc>
          <w:tcPr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4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 Количество 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</w:rPr>
              <w:t xml:space="preserve">объектов, оформлен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</w:rPr>
              <w:t xml:space="preserve">ных для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проведения праздничных меро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</w:rPr>
              <w:t xml:space="preserve">приятий (суммарное за год),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085"/>
        </w:trPr>
        <w:tc>
          <w:tcPr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4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3. Количество 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</w:rPr>
              <w:t xml:space="preserve">отремонтированных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объектов благоустройства,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92"/>
        </w:trPr>
        <w:tc>
          <w:tcPr>
            <w:tcW w:w="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gridSpan w:val="10"/>
            <w:tcW w:w="1440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Задача 2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подпрограммы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38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2.1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КПМ 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Проведение мероприятий для обеспечения безопасных и комфортных условий проживания на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территории 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left w:val="single" w:color="auto" w:sz="4" w:space="0"/>
            </w:tcBorders>
            <w:tcW w:w="85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15 883,72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10 516,70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5 367,02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УЖКХ ТиС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6 043,43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3 052,10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2 991,33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Площадь противоклещевой обработки лесопарковой зоны г.Северска, га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137,5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 Количество отловленных животных без владельцев,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9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3. Количество дней дежурства бригады по доставке тел умерших в морг, сут;дн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365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4 652,22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3 732,30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919,92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Площадь противоклещевой обработки лесопарковой зоны г.Северска, га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137,5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 Количество отловленных животных без владельцев,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60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3. Количество дней дежурства бригады по доставке тел умерших в морг, сут;дн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365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6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5 188,07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3 732,30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1 455,77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13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Площадь противоклещевой обработки лесопарковой зоны г.Северска, га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11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 Количество отловленных животных без владельцев,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40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3. Количество дней дежурства бригады по доставке тел умерших в морг, сут;дн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365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6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2028 (прог-ноз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-н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ый пери-од)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5 188,07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3 732,30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1 455,77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13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Площадь противоклещевой обработки лесопарковой зоны г.Северска, га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4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 Количество отловленных животных без владельцев,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40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4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3. Количество дней дежурства бригады по доставке тел умерших в морг, сут;дн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366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277"/>
        </w:trPr>
        <w:tc>
          <w:tcPr>
            <w:tcW w:w="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3.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gridSpan w:val="10"/>
            <w:tcW w:w="1440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Задача 3 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Привлечение жителей к благоустройству и санитарной очистке 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подпрограммы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349"/>
        </w:trPr>
        <w:tc>
          <w:tcPr>
            <w:tcW w:w="69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3.1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Основное мероприятие. Организация месячников, субботников и иных мероприятий для привлечения жителей к благоустройству и сан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итарной очистке города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Северска (до 31.12.2025),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 т.ч.</w:t>
            </w:r>
            <w:r>
              <w:rPr>
                <w:rFonts w:ascii="Times New Roman" w:hAnsi="Times New Roman" w:eastAsia="Times New Roman" w:cs="Times New Roman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highlight w:val="none"/>
              </w:rPr>
            </w:r>
          </w:p>
        </w:tc>
        <w:tc>
          <w:tcPr>
            <w:tcW w:w="85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24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УЖКХ ТиС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818"/>
        </w:trPr>
        <w:tc>
          <w:tcPr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24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Количество организованных мероприятий для привлечения жителей к благоустройству и санитарной очистке г.Северска,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4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405"/>
        </w:trPr>
        <w:tc>
          <w:tcPr>
            <w:tcW w:w="69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3.1.1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Проведение месячников, субботников и иных мероприятий для привлечения жителей к благоустройству и санитарной очистке г.Северска</w:t>
            </w:r>
            <w:r>
              <w:rPr>
                <w:rFonts w:ascii="Times New Roman" w:hAnsi="Times New Roman" w:eastAsia="Times New Roman" w:cs="Times New Roman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highlight w:val="none"/>
              </w:rPr>
            </w:r>
          </w:p>
        </w:tc>
        <w:tc>
          <w:tcPr>
            <w:tcW w:w="85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24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УЖКХ ТиС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2205"/>
        </w:trPr>
        <w:tc>
          <w:tcPr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24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Количество организованных мероприятий для привлечения жителей к благоустройству и санитарной очистке г.Северска,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4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302"/>
        </w:trPr>
        <w:tc>
          <w:tcPr>
            <w:tcW w:w="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3.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gridSpan w:val="10"/>
            <w:tcW w:w="1440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Задача 3 «Привлечение жителей к благоустройству и санитарной очистке города Северска» подпрограммы 2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449"/>
        </w:trPr>
        <w:tc>
          <w:tcPr>
            <w:tcW w:w="69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3.1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КПМ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Привлечение жителей к благоустройству  и санитарной очистке города Северска»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       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(с 01.01.2026)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24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УЖКХ ТиС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2541"/>
        </w:trPr>
        <w:tc>
          <w:tcPr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Cs w:val="24"/>
                <w:highlight w:val="red"/>
              </w:rPr>
            </w:r>
            <w:r>
              <w:rPr>
                <w:rFonts w:ascii="Times New Roman" w:hAnsi="Times New Roman" w:cs="Times New Roman"/>
                <w:szCs w:val="24"/>
                <w:highlight w:val="red"/>
              </w:rPr>
            </w:r>
            <w:r>
              <w:rPr>
                <w:rFonts w:ascii="Times New Roman" w:hAnsi="Times New Roman" w:cs="Times New Roman"/>
                <w:szCs w:val="24"/>
                <w:highlight w:val="red"/>
              </w:rPr>
            </w:r>
          </w:p>
        </w:tc>
        <w:tc>
          <w:tcPr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Cs w:val="24"/>
                <w:highlight w:val="red"/>
              </w:rPr>
            </w:r>
            <w:r>
              <w:rPr>
                <w:rFonts w:ascii="Times New Roman" w:hAnsi="Times New Roman" w:cs="Times New Roman"/>
                <w:szCs w:val="24"/>
                <w:highlight w:val="red"/>
              </w:rPr>
            </w:r>
            <w:r>
              <w:rPr>
                <w:rFonts w:ascii="Times New Roman" w:hAnsi="Times New Roman" w:cs="Times New Roman"/>
                <w:szCs w:val="24"/>
                <w:highlight w:val="red"/>
              </w:rPr>
            </w:r>
          </w:p>
        </w:tc>
        <w:tc>
          <w:tcPr>
            <w:tcW w:w="85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24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Количество организованных мероприятий для привлечения жителей к благоустройству и санитарной очистке г.Северска, ед</w:t>
            </w:r>
            <w:r>
              <w:rPr>
                <w:rFonts w:ascii="Times New Roman" w:hAnsi="Times New Roman" w:eastAsia="Times New Roman" w:cs="Times New Roman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highlight w:val="non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4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2205"/>
        </w:trPr>
        <w:tc>
          <w:tcPr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7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24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Количество организованных мероприятий для привлечения жителей к благоустройству и санитарной очистке г.Северска,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4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2205"/>
        </w:trPr>
        <w:tc>
          <w:tcPr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2028 (прог-ноз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ный пери-од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24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Количество организованных мероприятий для привлечения жителей к благоустройству и санитарной очистке г.Северска,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4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235"/>
        </w:trPr>
        <w:tc>
          <w:tcPr>
            <w:tcW w:w="69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Итого по подпрограмме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367 717,46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35 108,40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332 609,06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238"/>
        </w:trPr>
        <w:tc>
          <w:tcPr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145 262,42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13 139,90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132 122,52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229"/>
        </w:trPr>
        <w:tc>
          <w:tcPr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162 592,85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18 236,20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144 356,65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90"/>
        </w:trPr>
        <w:tc>
          <w:tcPr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59 862,19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3 732,30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56 129,89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W w:w="69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2028 (прог-ноз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ный пери-од)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59 724,55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3 732,30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55 992,25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3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</w:tbl>
    <w:p>
      <w:pPr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2" w:right="678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Wingdings">
    <w:panose1 w:val="05000000000000000000"/>
  </w:font>
  <w:font w:name="Liberation Sans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center" w:pos="4677" w:leader="none"/>
        <w:tab w:val="right" w:pos="9355" w:leader="none"/>
      </w:tabs>
      <w:rPr>
        <w:rFonts w:ascii="Times New Roman" w:hAnsi="Times New Roman" w:cs="Times New Roman"/>
        <w:sz w:val="16"/>
        <w:szCs w:val="20"/>
      </w:rPr>
    </w:pPr>
    <w:r>
      <w:rPr>
        <w:rFonts w:ascii="Times New Roman" w:hAnsi="Times New Roman" w:eastAsia="Times New Roman" w:cs="Times New Roman"/>
        <w:sz w:val="20"/>
        <w:szCs w:val="20"/>
        <w:lang w:eastAsia="ru-RU"/>
      </w:rPr>
      <w:t xml:space="preserve">Внутренний номер:</w:t>
    </w:r>
    <w:r>
      <w:rPr>
        <w:rFonts w:ascii="Times New Roman" w:hAnsi="Times New Roman" w:eastAsia="Times New Roman" w:cs="Times New Roman"/>
        <w:sz w:val="20"/>
        <w:szCs w:val="20"/>
        <w:lang w:eastAsia="ru-RU"/>
      </w:rPr>
      <w:t xml:space="preserve"> </w:t>
    </w:r>
    <w:r>
      <w:rPr>
        <w:rFonts w:ascii="Times New Roman" w:hAnsi="Times New Roman" w:eastAsia="Times New Roman" w:cs="Times New Roman"/>
        <w:sz w:val="20"/>
        <w:szCs w:val="20"/>
        <w:lang w:eastAsia="ru-RU"/>
      </w:rPr>
      <w:t xml:space="preserve">0379374</w:t>
    </w:r>
    <w:r>
      <w:rPr>
        <w:rFonts w:ascii="Times New Roman" w:hAnsi="Times New Roman" w:cs="Times New Roman"/>
        <w:sz w:val="16"/>
        <w:szCs w:val="20"/>
      </w:rPr>
    </w:r>
    <w:r>
      <w:rPr>
        <w:rFonts w:ascii="Times New Roman" w:hAnsi="Times New Roman" w:cs="Times New Roman"/>
        <w:sz w:val="16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center" w:pos="4677" w:leader="none"/>
        <w:tab w:val="right" w:pos="9355" w:leader="none"/>
      </w:tabs>
      <w:rPr>
        <w:rFonts w:ascii="Times New Roman" w:hAnsi="Times New Roman" w:cs="Times New Roman"/>
        <w:sz w:val="16"/>
        <w:szCs w:val="20"/>
      </w:rPr>
    </w:pPr>
    <w:r>
      <w:rPr>
        <w:rFonts w:ascii="Times New Roman" w:hAnsi="Times New Roman" w:eastAsia="Times New Roman" w:cs="Times New Roman"/>
        <w:sz w:val="20"/>
        <w:szCs w:val="20"/>
        <w:lang w:eastAsia="ru-RU"/>
      </w:rPr>
      <w:t xml:space="preserve">Внутренний номер:</w:t>
    </w:r>
    <w:r>
      <w:rPr>
        <w:rFonts w:ascii="Times New Roman" w:hAnsi="Times New Roman" w:eastAsia="Times New Roman" w:cs="Times New Roman"/>
        <w:sz w:val="20"/>
        <w:szCs w:val="20"/>
        <w:lang w:eastAsia="ru-RU"/>
      </w:rPr>
      <w:t xml:space="preserve"> </w:t>
    </w:r>
    <w:r>
      <w:rPr>
        <w:rFonts w:ascii="Times New Roman" w:hAnsi="Times New Roman" w:eastAsia="Times New Roman" w:cs="Times New Roman"/>
        <w:sz w:val="20"/>
        <w:szCs w:val="20"/>
        <w:lang w:eastAsia="ru-RU"/>
      </w:rPr>
      <w:t xml:space="preserve">0379374</w:t>
    </w:r>
    <w:r>
      <w:rPr>
        <w:rFonts w:ascii="Times New Roman" w:hAnsi="Times New Roman" w:cs="Times New Roman"/>
        <w:sz w:val="16"/>
        <w:szCs w:val="20"/>
      </w:rPr>
    </w:r>
    <w:r>
      <w:rPr>
        <w:rFonts w:ascii="Times New Roman" w:hAnsi="Times New Roman" w:cs="Times New Roman"/>
        <w:sz w:val="16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539861237"/>
      <w:docPartObj>
        <w:docPartGallery w:val="Page Numbers (Top of Page)"/>
        <w:docPartUnique w:val="true"/>
      </w:docPartObj>
      <w:rPr/>
    </w:sdtPr>
    <w:sdtContent>
      <w:p>
        <w:pPr>
          <w:pStyle w:val="892"/>
          <w:jc w:val="center"/>
          <w:rPr>
            <w:color w:val="ffffff" w:themeColor="background1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 xml:space="preserve">7</w:t>
        </w:r>
        <w:r>
          <w:rPr>
            <w:rFonts w:ascii="Times New Roman" w:hAnsi="Times New Roman" w:cs="Times New Roman"/>
          </w:rPr>
          <w:fldChar w:fldCharType="end"/>
        </w:r>
        <w:r>
          <w:rPr>
            <w:color w:val="ffffff" w:themeColor="background1"/>
          </w:rPr>
        </w:r>
        <w:r>
          <w:rPr>
            <w:color w:val="ffffff" w:themeColor="background1"/>
          </w:rPr>
        </w:r>
      </w:p>
    </w:sdtContent>
  </w:sdt>
  <w:p>
    <w:pPr>
      <w:pStyle w:val="89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1">
    <w:name w:val="Heading 1"/>
    <w:basedOn w:val="885"/>
    <w:next w:val="885"/>
    <w:link w:val="712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12">
    <w:name w:val="Heading 1 Char"/>
    <w:basedOn w:val="886"/>
    <w:link w:val="711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3">
    <w:name w:val="Heading 2"/>
    <w:basedOn w:val="885"/>
    <w:next w:val="885"/>
    <w:link w:val="71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4">
    <w:name w:val="Heading 2 Char"/>
    <w:basedOn w:val="886"/>
    <w:link w:val="713"/>
    <w:uiPriority w:val="9"/>
    <w:rPr>
      <w:rFonts w:ascii="Liberation Sans" w:hAnsi="Liberation Sans" w:eastAsia="Liberation Sans" w:cs="Liberation Sans"/>
      <w:sz w:val="34"/>
    </w:rPr>
  </w:style>
  <w:style w:type="paragraph" w:styleId="715">
    <w:name w:val="Heading 3"/>
    <w:basedOn w:val="885"/>
    <w:next w:val="885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6">
    <w:name w:val="Heading 3 Char"/>
    <w:basedOn w:val="886"/>
    <w:link w:val="715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7">
    <w:name w:val="Heading 4"/>
    <w:basedOn w:val="885"/>
    <w:next w:val="885"/>
    <w:link w:val="718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8">
    <w:name w:val="Heading 4 Char"/>
    <w:basedOn w:val="886"/>
    <w:link w:val="71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9">
    <w:name w:val="Heading 5"/>
    <w:basedOn w:val="885"/>
    <w:next w:val="885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0">
    <w:name w:val="Heading 5 Char"/>
    <w:basedOn w:val="886"/>
    <w:link w:val="71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1">
    <w:name w:val="Heading 6"/>
    <w:basedOn w:val="885"/>
    <w:next w:val="885"/>
    <w:link w:val="72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2">
    <w:name w:val="Heading 6 Char"/>
    <w:basedOn w:val="886"/>
    <w:link w:val="72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3">
    <w:name w:val="Heading 7"/>
    <w:basedOn w:val="885"/>
    <w:next w:val="885"/>
    <w:link w:val="72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4">
    <w:name w:val="Heading 7 Char"/>
    <w:basedOn w:val="886"/>
    <w:link w:val="72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5">
    <w:name w:val="Heading 8"/>
    <w:basedOn w:val="885"/>
    <w:next w:val="885"/>
    <w:link w:val="72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6">
    <w:name w:val="Heading 8 Char"/>
    <w:basedOn w:val="886"/>
    <w:link w:val="72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7">
    <w:name w:val="Heading 9"/>
    <w:basedOn w:val="885"/>
    <w:next w:val="885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8">
    <w:name w:val="Heading 9 Char"/>
    <w:basedOn w:val="886"/>
    <w:link w:val="72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9">
    <w:name w:val="No Spacing"/>
    <w:uiPriority w:val="1"/>
    <w:qFormat/>
    <w:pPr>
      <w:spacing w:before="0" w:after="0" w:line="240" w:lineRule="auto"/>
    </w:pPr>
  </w:style>
  <w:style w:type="paragraph" w:styleId="730">
    <w:name w:val="Title"/>
    <w:basedOn w:val="885"/>
    <w:next w:val="885"/>
    <w:link w:val="73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1">
    <w:name w:val="Title Char"/>
    <w:basedOn w:val="886"/>
    <w:link w:val="730"/>
    <w:uiPriority w:val="10"/>
    <w:rPr>
      <w:sz w:val="48"/>
      <w:szCs w:val="48"/>
    </w:rPr>
  </w:style>
  <w:style w:type="paragraph" w:styleId="732">
    <w:name w:val="Subtitle"/>
    <w:basedOn w:val="885"/>
    <w:next w:val="885"/>
    <w:link w:val="733"/>
    <w:uiPriority w:val="11"/>
    <w:qFormat/>
    <w:pPr>
      <w:spacing w:before="200" w:after="200"/>
    </w:pPr>
    <w:rPr>
      <w:sz w:val="24"/>
      <w:szCs w:val="24"/>
    </w:rPr>
  </w:style>
  <w:style w:type="character" w:styleId="733">
    <w:name w:val="Subtitle Char"/>
    <w:basedOn w:val="886"/>
    <w:link w:val="732"/>
    <w:uiPriority w:val="11"/>
    <w:rPr>
      <w:sz w:val="24"/>
      <w:szCs w:val="24"/>
    </w:rPr>
  </w:style>
  <w:style w:type="paragraph" w:styleId="734">
    <w:name w:val="Quote"/>
    <w:basedOn w:val="885"/>
    <w:next w:val="885"/>
    <w:link w:val="735"/>
    <w:uiPriority w:val="29"/>
    <w:qFormat/>
    <w:pPr>
      <w:ind w:left="720" w:right="720"/>
    </w:pPr>
    <w:rPr>
      <w:i/>
    </w:rPr>
  </w:style>
  <w:style w:type="character" w:styleId="735">
    <w:name w:val="Quote Char"/>
    <w:link w:val="734"/>
    <w:uiPriority w:val="29"/>
    <w:rPr>
      <w:i/>
    </w:rPr>
  </w:style>
  <w:style w:type="paragraph" w:styleId="736">
    <w:name w:val="Intense Quote"/>
    <w:basedOn w:val="885"/>
    <w:next w:val="885"/>
    <w:link w:val="73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7">
    <w:name w:val="Intense Quote Char"/>
    <w:link w:val="736"/>
    <w:uiPriority w:val="30"/>
    <w:rPr>
      <w:i/>
    </w:rPr>
  </w:style>
  <w:style w:type="character" w:styleId="738">
    <w:name w:val="Header Char"/>
    <w:basedOn w:val="886"/>
    <w:link w:val="892"/>
    <w:uiPriority w:val="99"/>
  </w:style>
  <w:style w:type="character" w:styleId="739">
    <w:name w:val="Footer Char"/>
    <w:basedOn w:val="886"/>
    <w:link w:val="894"/>
    <w:uiPriority w:val="99"/>
  </w:style>
  <w:style w:type="paragraph" w:styleId="740">
    <w:name w:val="Caption"/>
    <w:basedOn w:val="885"/>
    <w:next w:val="885"/>
    <w:link w:val="7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1">
    <w:name w:val="Caption Char"/>
    <w:basedOn w:val="886"/>
    <w:link w:val="740"/>
    <w:uiPriority w:val="35"/>
    <w:rPr>
      <w:b/>
      <w:bCs/>
      <w:color w:val="4f81bd" w:themeColor="accent1"/>
      <w:sz w:val="18"/>
      <w:szCs w:val="18"/>
    </w:rPr>
  </w:style>
  <w:style w:type="table" w:styleId="742">
    <w:name w:val="Table Grid Light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>
    <w:name w:val="Plain Table 1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4">
    <w:name w:val="Plain Table 2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5">
    <w:name w:val="Plain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>
    <w:name w:val="Grid Table 4 - Accent 1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1">
    <w:name w:val="Grid Table 4 - Accent 2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2">
    <w:name w:val="Grid Table 4 - Accent 3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3">
    <w:name w:val="Grid Table 4 - Accent 4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4">
    <w:name w:val="Grid Table 4 - Accent 5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5">
    <w:name w:val="Grid Table 4 - Accent 6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6">
    <w:name w:val="Grid Table 5 Dark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7">
    <w:name w:val="Grid Table 5 Dark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0">
    <w:name w:val="Grid Table 5 Dark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3">
    <w:name w:val="Grid Table 6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4">
    <w:name w:val="Grid Table 6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5">
    <w:name w:val="Grid Table 6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6">
    <w:name w:val="Grid Table 6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7">
    <w:name w:val="Grid Table 6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8">
    <w:name w:val="Grid Table 6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9">
    <w:name w:val="Grid Table 6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0">
    <w:name w:val="Grid Table 7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5">
    <w:name w:val="List Table 2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6">
    <w:name w:val="List Table 2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7">
    <w:name w:val="List Table 2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8">
    <w:name w:val="List Table 2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9">
    <w:name w:val="List Table 2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0">
    <w:name w:val="List Table 2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6">
    <w:name w:val="List Table 5 Dark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5 Dark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0">
    <w:name w:val="List Table 5 Dark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6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3">
    <w:name w:val="List Table 6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4">
    <w:name w:val="List Table 6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5">
    <w:name w:val="List Table 6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6">
    <w:name w:val="List Table 6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7">
    <w:name w:val="List Table 6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8">
    <w:name w:val="List Table 6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9">
    <w:name w:val="List Table 7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0">
    <w:name w:val="List Table 7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41">
    <w:name w:val="List Table 7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42">
    <w:name w:val="List Table 7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43">
    <w:name w:val="List Table 7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44">
    <w:name w:val="List Table 7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45">
    <w:name w:val="List Table 7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46">
    <w:name w:val="Lined - Accent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Lined - Accent 1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8">
    <w:name w:val="Lined - Accent 2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9">
    <w:name w:val="Lined - Accent 3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0">
    <w:name w:val="Lined - Accent 4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1">
    <w:name w:val="Lined - Accent 5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2">
    <w:name w:val="Lined - Accent 6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3">
    <w:name w:val="Bordered &amp; Lined - Accent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4">
    <w:name w:val="Bordered &amp; Lined - Accent 1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5">
    <w:name w:val="Bordered &amp; Lined - Accent 2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6">
    <w:name w:val="Bordered &amp; Lined - Accent 3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7">
    <w:name w:val="Bordered &amp; Lined - Accent 4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8">
    <w:name w:val="Bordered &amp; Lined - Accent 5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9">
    <w:name w:val="Bordered &amp; Lined - Accent 6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0">
    <w:name w:val="Bordered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1">
    <w:name w:val="Bordered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2">
    <w:name w:val="Bordered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3">
    <w:name w:val="Bordered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4">
    <w:name w:val="Bordered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5">
    <w:name w:val="Bordered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6">
    <w:name w:val="Bordered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7">
    <w:name w:val="Hyperlink"/>
    <w:uiPriority w:val="99"/>
    <w:unhideWhenUsed/>
    <w:rPr>
      <w:color w:val="0000ff" w:themeColor="hyperlink"/>
      <w:u w:val="single"/>
    </w:rPr>
  </w:style>
  <w:style w:type="paragraph" w:styleId="868">
    <w:name w:val="footnote text"/>
    <w:basedOn w:val="885"/>
    <w:link w:val="869"/>
    <w:uiPriority w:val="99"/>
    <w:semiHidden/>
    <w:unhideWhenUsed/>
    <w:pPr>
      <w:spacing w:after="40" w:line="240" w:lineRule="auto"/>
    </w:pPr>
    <w:rPr>
      <w:sz w:val="18"/>
    </w:rPr>
  </w:style>
  <w:style w:type="character" w:styleId="869">
    <w:name w:val="Footnote Text Char"/>
    <w:link w:val="868"/>
    <w:uiPriority w:val="99"/>
    <w:rPr>
      <w:sz w:val="18"/>
    </w:rPr>
  </w:style>
  <w:style w:type="character" w:styleId="870">
    <w:name w:val="footnote reference"/>
    <w:basedOn w:val="886"/>
    <w:uiPriority w:val="99"/>
    <w:unhideWhenUsed/>
    <w:rPr>
      <w:vertAlign w:val="superscript"/>
    </w:rPr>
  </w:style>
  <w:style w:type="paragraph" w:styleId="871">
    <w:name w:val="endnote text"/>
    <w:basedOn w:val="885"/>
    <w:link w:val="872"/>
    <w:uiPriority w:val="99"/>
    <w:semiHidden/>
    <w:unhideWhenUsed/>
    <w:pPr>
      <w:spacing w:after="0" w:line="240" w:lineRule="auto"/>
    </w:pPr>
    <w:rPr>
      <w:sz w:val="20"/>
    </w:rPr>
  </w:style>
  <w:style w:type="character" w:styleId="872">
    <w:name w:val="Endnote Text Char"/>
    <w:link w:val="871"/>
    <w:uiPriority w:val="99"/>
    <w:rPr>
      <w:sz w:val="20"/>
    </w:rPr>
  </w:style>
  <w:style w:type="character" w:styleId="873">
    <w:name w:val="endnote reference"/>
    <w:basedOn w:val="886"/>
    <w:uiPriority w:val="99"/>
    <w:semiHidden/>
    <w:unhideWhenUsed/>
    <w:rPr>
      <w:vertAlign w:val="superscript"/>
    </w:rPr>
  </w:style>
  <w:style w:type="paragraph" w:styleId="874">
    <w:name w:val="toc 1"/>
    <w:basedOn w:val="885"/>
    <w:next w:val="885"/>
    <w:uiPriority w:val="39"/>
    <w:unhideWhenUsed/>
    <w:pPr>
      <w:ind w:left="0" w:right="0" w:firstLine="0"/>
      <w:spacing w:after="57"/>
    </w:pPr>
  </w:style>
  <w:style w:type="paragraph" w:styleId="875">
    <w:name w:val="toc 2"/>
    <w:basedOn w:val="885"/>
    <w:next w:val="885"/>
    <w:uiPriority w:val="39"/>
    <w:unhideWhenUsed/>
    <w:pPr>
      <w:ind w:left="283" w:right="0" w:firstLine="0"/>
      <w:spacing w:after="57"/>
    </w:pPr>
  </w:style>
  <w:style w:type="paragraph" w:styleId="876">
    <w:name w:val="toc 3"/>
    <w:basedOn w:val="885"/>
    <w:next w:val="885"/>
    <w:uiPriority w:val="39"/>
    <w:unhideWhenUsed/>
    <w:pPr>
      <w:ind w:left="567" w:right="0" w:firstLine="0"/>
      <w:spacing w:after="57"/>
    </w:pPr>
  </w:style>
  <w:style w:type="paragraph" w:styleId="877">
    <w:name w:val="toc 4"/>
    <w:basedOn w:val="885"/>
    <w:next w:val="885"/>
    <w:uiPriority w:val="39"/>
    <w:unhideWhenUsed/>
    <w:pPr>
      <w:ind w:left="850" w:right="0" w:firstLine="0"/>
      <w:spacing w:after="57"/>
    </w:pPr>
  </w:style>
  <w:style w:type="paragraph" w:styleId="878">
    <w:name w:val="toc 5"/>
    <w:basedOn w:val="885"/>
    <w:next w:val="885"/>
    <w:uiPriority w:val="39"/>
    <w:unhideWhenUsed/>
    <w:pPr>
      <w:ind w:left="1134" w:right="0" w:firstLine="0"/>
      <w:spacing w:after="57"/>
    </w:pPr>
  </w:style>
  <w:style w:type="paragraph" w:styleId="879">
    <w:name w:val="toc 6"/>
    <w:basedOn w:val="885"/>
    <w:next w:val="885"/>
    <w:uiPriority w:val="39"/>
    <w:unhideWhenUsed/>
    <w:pPr>
      <w:ind w:left="1417" w:right="0" w:firstLine="0"/>
      <w:spacing w:after="57"/>
    </w:pPr>
  </w:style>
  <w:style w:type="paragraph" w:styleId="880">
    <w:name w:val="toc 7"/>
    <w:basedOn w:val="885"/>
    <w:next w:val="885"/>
    <w:uiPriority w:val="39"/>
    <w:unhideWhenUsed/>
    <w:pPr>
      <w:ind w:left="1701" w:right="0" w:firstLine="0"/>
      <w:spacing w:after="57"/>
    </w:pPr>
  </w:style>
  <w:style w:type="paragraph" w:styleId="881">
    <w:name w:val="toc 8"/>
    <w:basedOn w:val="885"/>
    <w:next w:val="885"/>
    <w:uiPriority w:val="39"/>
    <w:unhideWhenUsed/>
    <w:pPr>
      <w:ind w:left="1984" w:right="0" w:firstLine="0"/>
      <w:spacing w:after="57"/>
    </w:pPr>
  </w:style>
  <w:style w:type="paragraph" w:styleId="882">
    <w:name w:val="toc 9"/>
    <w:basedOn w:val="885"/>
    <w:next w:val="885"/>
    <w:uiPriority w:val="39"/>
    <w:unhideWhenUsed/>
    <w:pPr>
      <w:ind w:left="2268" w:right="0" w:firstLine="0"/>
      <w:spacing w:after="57"/>
    </w:pPr>
  </w:style>
  <w:style w:type="paragraph" w:styleId="883">
    <w:name w:val="TOC Heading"/>
    <w:uiPriority w:val="39"/>
    <w:unhideWhenUsed/>
  </w:style>
  <w:style w:type="paragraph" w:styleId="884">
    <w:name w:val="table of figures"/>
    <w:basedOn w:val="885"/>
    <w:next w:val="885"/>
    <w:uiPriority w:val="99"/>
    <w:unhideWhenUsed/>
    <w:pPr>
      <w:spacing w:after="0" w:afterAutospacing="0"/>
    </w:pPr>
  </w:style>
  <w:style w:type="paragraph" w:styleId="885" w:default="1">
    <w:name w:val="Normal"/>
    <w:qFormat/>
  </w:style>
  <w:style w:type="character" w:styleId="886" w:default="1">
    <w:name w:val="Default Paragraph Font"/>
    <w:uiPriority w:val="1"/>
    <w:semiHidden/>
    <w:unhideWhenUsed/>
  </w:style>
  <w:style w:type="table" w:styleId="88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8" w:default="1">
    <w:name w:val="No List"/>
    <w:uiPriority w:val="99"/>
    <w:semiHidden/>
    <w:unhideWhenUsed/>
  </w:style>
  <w:style w:type="table" w:styleId="889">
    <w:name w:val="Table Grid"/>
    <w:basedOn w:val="887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0">
    <w:name w:val="Balloon Text"/>
    <w:basedOn w:val="885"/>
    <w:link w:val="891"/>
    <w:uiPriority w:val="99"/>
    <w:semiHidden/>
    <w:unhideWhenUsed/>
    <w:rPr>
      <w:rFonts w:ascii="Tahoma" w:hAnsi="Tahoma" w:cs="Tahoma"/>
      <w:sz w:val="16"/>
      <w:szCs w:val="16"/>
    </w:rPr>
  </w:style>
  <w:style w:type="character" w:styleId="891" w:customStyle="1">
    <w:name w:val="Текст выноски Знак"/>
    <w:basedOn w:val="886"/>
    <w:link w:val="890"/>
    <w:uiPriority w:val="99"/>
    <w:semiHidden/>
    <w:rPr>
      <w:rFonts w:ascii="Tahoma" w:hAnsi="Tahoma" w:cs="Tahoma"/>
      <w:sz w:val="16"/>
      <w:szCs w:val="16"/>
    </w:rPr>
  </w:style>
  <w:style w:type="paragraph" w:styleId="892">
    <w:name w:val="Header"/>
    <w:basedOn w:val="885"/>
    <w:link w:val="89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3" w:customStyle="1">
    <w:name w:val="Верхний колонтитул Знак"/>
    <w:basedOn w:val="886"/>
    <w:link w:val="892"/>
    <w:uiPriority w:val="99"/>
  </w:style>
  <w:style w:type="paragraph" w:styleId="894">
    <w:name w:val="Footer"/>
    <w:basedOn w:val="885"/>
    <w:link w:val="895"/>
    <w:unhideWhenUsed/>
    <w:pPr>
      <w:tabs>
        <w:tab w:val="center" w:pos="4677" w:leader="none"/>
        <w:tab w:val="right" w:pos="9355" w:leader="none"/>
      </w:tabs>
    </w:pPr>
  </w:style>
  <w:style w:type="character" w:styleId="895" w:customStyle="1">
    <w:name w:val="Нижний колонтитул Знак"/>
    <w:basedOn w:val="886"/>
    <w:link w:val="894"/>
  </w:style>
  <w:style w:type="paragraph" w:styleId="896">
    <w:name w:val="List Paragraph"/>
    <w:basedOn w:val="88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758E7-AC8C-494A-96ED-4D5541124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25</cp:revision>
  <dcterms:created xsi:type="dcterms:W3CDTF">2026-01-04T04:33:00Z</dcterms:created>
  <dcterms:modified xsi:type="dcterms:W3CDTF">2026-08-05T08:02:15Z</dcterms:modified>
</cp:coreProperties>
</file>