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/>
        <w:rPr>
          <w:b/>
          <w:spacing w:val="17"/>
          <w:sz w:val="24"/>
          <w:szCs w:val="24"/>
        </w:rPr>
      </w:pP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</w:p>
    <w:p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4064203</wp:posOffset>
                </wp:positionH>
                <wp:positionV relativeFrom="paragraph">
                  <wp:posOffset>-199338</wp:posOffset>
                </wp:positionV>
                <wp:extent cx="2933837" cy="987552"/>
                <wp:effectExtent l="0" t="0" r="0" b="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rot="0" flipH="0" flipV="0">
                          <a:off x="0" y="0"/>
                          <a:ext cx="2933836" cy="9875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УТВЕРЖДЕН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постановлением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от 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1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9.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0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8.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0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6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__  № _1714-па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251657728;o:allowoverlap:true;o:allowincell:true;mso-position-horizontal-relative:text;margin-left:320.02pt;mso-position-horizontal:absolute;mso-position-vertical-relative:text;margin-top:-15.70pt;mso-position-vertical:absolute;width:231.01pt;height:77.76pt;mso-wrap-distance-left:9.00pt;mso-wrap-distance-top:0.00pt;mso-wrap-distance-right:9.00pt;mso-wrap-distance-bottom:0.00pt;rotation:0;v-text-anchor:top;visibility:visible;" fillcolor="#FFFFFF" stroked="f">
                <v:textbox inset="0,0,0,0">
                  <w:txbxContent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УТВЕРЖДЕН 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постановлением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от 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1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9.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0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8.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2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0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2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6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__  № _1714-па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_______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jc w:val="center"/>
        <w:shd w:val="clear" w:color="auto" w:fill="ffffff"/>
        <w:rPr>
          <w:b/>
          <w:spacing w:val="17"/>
          <w:sz w:val="24"/>
          <w:szCs w:val="24"/>
        </w:rPr>
      </w:pP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</w:p>
    <w:p>
      <w:pPr>
        <w:jc w:val="center"/>
        <w:shd w:val="clear" w:color="auto" w:fill="ffffff"/>
        <w:rPr>
          <w:b/>
          <w:spacing w:val="17"/>
          <w:sz w:val="24"/>
          <w:szCs w:val="24"/>
        </w:rPr>
      </w:pP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</w:p>
    <w:p>
      <w:pPr>
        <w:jc w:val="center"/>
        <w:shd w:val="clear" w:color="auto" w:fill="ffffff"/>
        <w:rPr>
          <w:b/>
          <w:spacing w:val="17"/>
          <w:sz w:val="24"/>
          <w:szCs w:val="24"/>
        </w:rPr>
      </w:pP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</w:p>
    <w:p>
      <w:pPr>
        <w:shd w:val="clear" w:color="auto" w:fill="ffffff"/>
        <w:rPr>
          <w:b/>
          <w:spacing w:val="17"/>
          <w:sz w:val="24"/>
          <w:szCs w:val="24"/>
        </w:rPr>
      </w:pP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</w:p>
    <w:p>
      <w:pPr>
        <w:shd w:val="clear" w:color="auto" w:fill="ffffff"/>
        <w:rPr>
          <w:b/>
          <w:spacing w:val="17"/>
          <w:sz w:val="24"/>
          <w:szCs w:val="24"/>
        </w:rPr>
      </w:pP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</w:p>
    <w:p>
      <w:pPr>
        <w:shd w:val="clear" w:color="auto" w:fill="ffffff"/>
        <w:rPr>
          <w:b/>
          <w:spacing w:val="17"/>
          <w:sz w:val="24"/>
          <w:szCs w:val="24"/>
        </w:rPr>
      </w:pP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  <w:r>
        <w:rPr>
          <w:b/>
          <w:spacing w:val="17"/>
          <w:sz w:val="24"/>
          <w:szCs w:val="24"/>
        </w:rPr>
      </w:r>
    </w:p>
    <w:p>
      <w:pPr>
        <w:jc w:val="center"/>
        <w:shd w:val="clear" w:color="auto" w:fill="ffffff"/>
        <w:rPr>
          <w:spacing w:val="17"/>
          <w:sz w:val="24"/>
          <w:szCs w:val="24"/>
        </w:rPr>
      </w:pPr>
      <w:r>
        <w:rPr>
          <w:spacing w:val="17"/>
          <w:sz w:val="24"/>
          <w:szCs w:val="24"/>
        </w:rPr>
        <w:t xml:space="preserve">ПЛАН</w:t>
      </w:r>
      <w:r>
        <w:rPr>
          <w:spacing w:val="17"/>
          <w:sz w:val="24"/>
          <w:szCs w:val="24"/>
        </w:rPr>
      </w:r>
      <w:r>
        <w:rPr>
          <w:spacing w:val="17"/>
          <w:sz w:val="24"/>
          <w:szCs w:val="24"/>
        </w:rPr>
      </w:r>
    </w:p>
    <w:p>
      <w:pPr>
        <w:jc w:val="center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меропри</w:t>
      </w:r>
      <w:r>
        <w:rPr>
          <w:sz w:val="24"/>
          <w:szCs w:val="24"/>
        </w:rPr>
        <w:t xml:space="preserve">ятий по подготовке к проведению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спортивно-творческого фестиваля «Северские зори» </w:t>
      </w:r>
      <w:r>
        <w:rPr>
          <w:sz w:val="24"/>
          <w:szCs w:val="24"/>
        </w:rPr>
        <w:t xml:space="preserve">среди лиц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с ограниченными возможностями здоровья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spacing w:val="17"/>
          <w:sz w:val="24"/>
          <w:szCs w:val="24"/>
        </w:rPr>
      </w:pPr>
      <w:r>
        <w:rPr>
          <w:spacing w:val="17"/>
          <w:sz w:val="24"/>
          <w:szCs w:val="24"/>
        </w:rPr>
      </w:r>
      <w:r>
        <w:rPr>
          <w:spacing w:val="17"/>
          <w:sz w:val="24"/>
          <w:szCs w:val="24"/>
        </w:rPr>
      </w:r>
      <w:r>
        <w:rPr>
          <w:spacing w:val="17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535"/>
        <w:gridCol w:w="1559"/>
        <w:gridCol w:w="2802"/>
      </w:tblGrid>
      <w:tr>
        <w:tblPrEx/>
        <w:trPr/>
        <w:tc>
          <w:tcPr>
            <w:tcW w:w="742" w:type="dxa"/>
            <w:textDirection w:val="lrTb"/>
            <w:noWrap w:val="false"/>
          </w:tcPr>
          <w:p>
            <w:pPr>
              <w:ind w:right="101" w:firstLine="43"/>
              <w:jc w:val="center"/>
              <w:spacing w:line="288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535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мероприятия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Срок </w:t>
            </w:r>
            <w:r>
              <w:rPr>
                <w:spacing w:val="-3"/>
                <w:sz w:val="24"/>
                <w:szCs w:val="24"/>
              </w:rPr>
            </w:r>
            <w:r>
              <w:rPr>
                <w:spacing w:val="-3"/>
                <w:sz w:val="24"/>
                <w:szCs w:val="24"/>
              </w:rPr>
            </w:r>
          </w:p>
          <w:p>
            <w:pPr>
              <w:jc w:val="center"/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исполнения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02" w:type="dxa"/>
            <w:textDirection w:val="lrTb"/>
            <w:noWrap w:val="false"/>
          </w:tcPr>
          <w:p>
            <w:pPr>
              <w:ind w:left="58" w:right="-98"/>
              <w:jc w:val="center"/>
              <w:spacing w:line="281" w:lineRule="exact"/>
              <w:shd w:val="clear" w:color="auto" w:fill="ffffff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Ответственный</w:t>
            </w:r>
            <w:r>
              <w:rPr>
                <w:spacing w:val="-3"/>
                <w:sz w:val="24"/>
                <w:szCs w:val="24"/>
              </w:rPr>
            </w:r>
            <w:r>
              <w:rPr>
                <w:spacing w:val="-3"/>
                <w:sz w:val="24"/>
                <w:szCs w:val="24"/>
              </w:rPr>
            </w:r>
          </w:p>
          <w:p>
            <w:pPr>
              <w:ind w:left="58" w:right="-98"/>
              <w:jc w:val="center"/>
              <w:spacing w:line="281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71"/>
        </w:trPr>
        <w:tc>
          <w:tcPr>
            <w:tcW w:w="742" w:type="dxa"/>
            <w:textDirection w:val="lrTb"/>
            <w:noWrap w:val="false"/>
          </w:tcPr>
          <w:p>
            <w:pPr>
              <w:numPr>
                <w:ilvl w:val="0"/>
                <w:numId w:val="1"/>
              </w:numPr>
              <w:jc w:val="center"/>
              <w:widowControl/>
              <w:tabs>
                <w:tab w:val="clear" w:pos="0" w:leader="none"/>
                <w:tab w:val="num" w:pos="284" w:leader="none"/>
              </w:tabs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</w:p>
        </w:tc>
        <w:tc>
          <w:tcPr>
            <w:tcW w:w="4535" w:type="dxa"/>
            <w:textDirection w:val="lrTb"/>
            <w:noWrap w:val="false"/>
          </w:tcPr>
          <w:p>
            <w:pPr>
              <w:jc w:val="both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сц</w:t>
            </w:r>
            <w:r>
              <w:rPr>
                <w:sz w:val="24"/>
                <w:szCs w:val="24"/>
              </w:rPr>
              <w:t xml:space="preserve">енария</w:t>
            </w:r>
            <w:r>
              <w:rPr>
                <w:sz w:val="24"/>
                <w:szCs w:val="24"/>
              </w:rPr>
              <w:t xml:space="preserve"> торже</w:t>
            </w:r>
            <w:r>
              <w:rPr>
                <w:sz w:val="24"/>
                <w:szCs w:val="24"/>
              </w:rPr>
              <w:t xml:space="preserve">ственного открытия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городского спортивно-творческого фестиваля «Северские зори», проводимого среди лиц с ограниченными возможностями здоровья (далее – Фестиваль)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108" w:right="-108" w:firstLine="58"/>
              <w:jc w:val="center"/>
              <w:spacing w:line="274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Август 2026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 w:right="-108" w:firstLine="58"/>
              <w:jc w:val="center"/>
              <w:spacing w:line="274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02" w:type="dxa"/>
            <w:textDirection w:val="lrTb"/>
            <w:noWrap w:val="false"/>
          </w:tcPr>
          <w:p>
            <w:pPr>
              <w:ind w:right="-98"/>
              <w:spacing w:line="288" w:lineRule="exact"/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color w:val="auto"/>
                <w:spacing w:val="-7"/>
                <w:sz w:val="24"/>
                <w:szCs w:val="24"/>
              </w:rPr>
              <w:t xml:space="preserve">Северская организация Томской областной региональной организации Общероссийской общественной организации «Всероссийское общество инвалидов»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615"/>
        </w:trPr>
        <w:tc>
          <w:tcPr>
            <w:tcW w:w="742" w:type="dxa"/>
            <w:textDirection w:val="lrTb"/>
            <w:noWrap w:val="false"/>
          </w:tcPr>
          <w:p>
            <w:pPr>
              <w:numPr>
                <w:ilvl w:val="0"/>
                <w:numId w:val="1"/>
              </w:numPr>
              <w:jc w:val="center"/>
              <w:widowControl/>
              <w:tabs>
                <w:tab w:val="clear" w:pos="0" w:leader="none"/>
                <w:tab w:val="num" w:pos="284" w:leader="none"/>
              </w:tabs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</w:p>
        </w:tc>
        <w:tc>
          <w:tcPr>
            <w:tcW w:w="4535" w:type="dxa"/>
            <w:textDirection w:val="lrTb"/>
            <w:noWrap w:val="false"/>
          </w:tcPr>
          <w:p>
            <w:pPr>
              <w:jc w:val="both"/>
              <w:spacing w:line="274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ДОЛ «Березка» МАУ ЗАТО Северск </w:t>
            </w:r>
            <w:r>
              <w:rPr>
                <w:sz w:val="24"/>
                <w:szCs w:val="24"/>
              </w:rPr>
              <w:t xml:space="preserve">ДОЛ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«Зеленый мыс» к размещению участников </w:t>
            </w:r>
            <w:r>
              <w:rPr>
                <w:sz w:val="24"/>
                <w:szCs w:val="24"/>
              </w:rPr>
              <w:t xml:space="preserve">Фестиваля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108" w:right="-108" w:firstLine="58"/>
              <w:jc w:val="center"/>
              <w:spacing w:line="274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Август 2026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 w:right="-108" w:firstLine="58"/>
              <w:jc w:val="center"/>
              <w:spacing w:line="274" w:lineRule="exact"/>
              <w:shd w:val="clear" w:color="auto" w:fill="ffffff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2802" w:type="dxa"/>
            <w:textDirection w:val="lrTb"/>
            <w:noWrap w:val="false"/>
          </w:tcPr>
          <w:p>
            <w:pPr>
              <w:ind w:right="-98"/>
              <w:spacing w:line="288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98"/>
              <w:spacing w:line="288" w:lineRule="exact"/>
              <w:shd w:val="clear" w:color="auto" w:fill="ffff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МАУ ЗАТО Северск </w:t>
            </w:r>
            <w:r>
              <w:rPr>
                <w:sz w:val="24"/>
                <w:szCs w:val="24"/>
              </w:rPr>
              <w:t xml:space="preserve">ДОЛ</w:t>
            </w:r>
            <w:r>
              <w:rPr>
                <w:sz w:val="24"/>
                <w:szCs w:val="24"/>
              </w:rPr>
              <w:t xml:space="preserve"> «Зеленый мыс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742" w:type="dxa"/>
            <w:textDirection w:val="lrTb"/>
            <w:noWrap w:val="false"/>
          </w:tcPr>
          <w:p>
            <w:pPr>
              <w:numPr>
                <w:ilvl w:val="0"/>
                <w:numId w:val="1"/>
              </w:numPr>
              <w:jc w:val="center"/>
              <w:widowControl/>
              <w:tabs>
                <w:tab w:val="clear" w:pos="0" w:leader="none"/>
                <w:tab w:val="num" w:pos="284" w:leader="none"/>
              </w:tabs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</w:p>
        </w:tc>
        <w:tc>
          <w:tcPr>
            <w:tcW w:w="4535" w:type="dxa"/>
            <w:textDirection w:val="lrTb"/>
            <w:noWrap w:val="false"/>
          </w:tcPr>
          <w:p>
            <w:pPr>
              <w:jc w:val="both"/>
              <w:spacing w:line="274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Разработка меню и сметы расходов</w:t>
            </w:r>
            <w:r>
              <w:rPr>
                <w:spacing w:val="-1"/>
                <w:sz w:val="24"/>
                <w:szCs w:val="24"/>
              </w:rPr>
              <w:t xml:space="preserve"> Фестиваля </w:t>
            </w:r>
            <w:r>
              <w:rPr>
                <w:spacing w:val="-1"/>
                <w:sz w:val="24"/>
                <w:szCs w:val="24"/>
              </w:rPr>
              <w:t xml:space="preserve">совместно с общественными организациями инвалидов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 xml:space="preserve">Август 2026 г.</w:t>
            </w: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</w:p>
          <w:p>
            <w:pPr>
              <w:ind w:left="-108" w:right="-108" w:firstLine="58"/>
              <w:jc w:val="center"/>
              <w:spacing w:line="274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02" w:type="dxa"/>
            <w:textDirection w:val="lrTb"/>
            <w:noWrap w:val="false"/>
          </w:tcPr>
          <w:p>
            <w:pPr>
              <w:ind w:right="-98"/>
              <w:spacing w:line="288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социальной поддержки населения Администрации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98"/>
              <w:spacing w:line="288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98"/>
              <w:spacing w:line="288" w:lineRule="exact"/>
              <w:shd w:val="clear" w:color="auto" w:fill="ffff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МАУ ЗАТО Северск </w:t>
            </w:r>
            <w:r>
              <w:rPr>
                <w:sz w:val="24"/>
                <w:szCs w:val="24"/>
              </w:rPr>
              <w:t xml:space="preserve">ДОЛ</w:t>
            </w:r>
            <w:r>
              <w:rPr>
                <w:sz w:val="24"/>
                <w:szCs w:val="24"/>
              </w:rPr>
              <w:t xml:space="preserve"> «Зеленый мыс»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742" w:type="dxa"/>
            <w:textDirection w:val="lrTb"/>
            <w:noWrap w:val="false"/>
          </w:tcPr>
          <w:p>
            <w:pPr>
              <w:numPr>
                <w:ilvl w:val="0"/>
                <w:numId w:val="1"/>
              </w:numPr>
              <w:jc w:val="center"/>
              <w:widowControl/>
              <w:tabs>
                <w:tab w:val="clear" w:pos="0" w:leader="none"/>
                <w:tab w:val="num" w:pos="284" w:leader="none"/>
              </w:tabs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</w:p>
        </w:tc>
        <w:tc>
          <w:tcPr>
            <w:tcW w:w="4535" w:type="dxa"/>
            <w:textDirection w:val="lrTb"/>
            <w:noWrap w:val="false"/>
          </w:tcPr>
          <w:p>
            <w:pPr>
              <w:ind w:left="14" w:firstLine="7"/>
              <w:jc w:val="both"/>
              <w:spacing w:line="274" w:lineRule="exact"/>
              <w:shd w:val="clear" w:color="auto" w:fill="ffffff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Организация медицинского, спорт</w:t>
            </w:r>
            <w:r>
              <w:rPr>
                <w:spacing w:val="-1"/>
                <w:sz w:val="24"/>
                <w:szCs w:val="24"/>
              </w:rPr>
              <w:t xml:space="preserve">ивного, судейского обеспечения Ф</w:t>
            </w:r>
            <w:r>
              <w:rPr>
                <w:spacing w:val="-1"/>
                <w:sz w:val="24"/>
                <w:szCs w:val="24"/>
              </w:rPr>
              <w:t xml:space="preserve">естиваля</w:t>
            </w:r>
            <w:r>
              <w:rPr>
                <w:spacing w:val="-1"/>
                <w:sz w:val="24"/>
                <w:szCs w:val="24"/>
              </w:rPr>
            </w:r>
            <w:r>
              <w:rPr>
                <w:spacing w:val="-1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108" w:right="-108"/>
              <w:jc w:val="center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03</w:t>
            </w:r>
            <w:r>
              <w:rPr>
                <w:sz w:val="24"/>
                <w:szCs w:val="24"/>
              </w:rPr>
              <w:t xml:space="preserve">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 w:right="-108"/>
              <w:jc w:val="center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 w:right="-108"/>
              <w:jc w:val="center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02" w:type="dxa"/>
            <w:textDirection w:val="lrTb"/>
            <w:noWrap w:val="false"/>
          </w:tcPr>
          <w:p>
            <w:pPr>
              <w:ind w:right="-98" w:hanging="7"/>
              <w:spacing w:line="274" w:lineRule="exact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742" w:type="dxa"/>
            <w:textDirection w:val="lrTb"/>
            <w:noWrap w:val="false"/>
          </w:tcPr>
          <w:p>
            <w:pPr>
              <w:numPr>
                <w:ilvl w:val="0"/>
                <w:numId w:val="1"/>
              </w:numPr>
              <w:jc w:val="center"/>
              <w:widowControl/>
              <w:tabs>
                <w:tab w:val="clear" w:pos="0" w:leader="none"/>
                <w:tab w:val="num" w:pos="284" w:leader="none"/>
              </w:tabs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  <w:r>
              <w:rPr>
                <w:spacing w:val="-14"/>
                <w:sz w:val="24"/>
                <w:szCs w:val="24"/>
              </w:rPr>
            </w:r>
          </w:p>
        </w:tc>
        <w:tc>
          <w:tcPr>
            <w:tcW w:w="453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отъезда участников Ф</w:t>
            </w:r>
            <w:r>
              <w:rPr>
                <w:sz w:val="24"/>
                <w:szCs w:val="24"/>
              </w:rPr>
              <w:t xml:space="preserve">естиваля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02" w:type="dxa"/>
            <w:textDirection w:val="lrTb"/>
            <w:noWrap w:val="false"/>
          </w:tcPr>
          <w:p>
            <w:pPr>
              <w:ind w:right="-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социальной поддержки населения Администрации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hd w:val="clear" w:color="auto" w:fill="ffffff"/>
        <w:rPr>
          <w:bCs/>
          <w:spacing w:val="-14"/>
          <w:sz w:val="24"/>
          <w:szCs w:val="24"/>
        </w:rPr>
      </w:pPr>
      <w:r>
        <w:rPr>
          <w:bCs/>
          <w:spacing w:val="-14"/>
          <w:sz w:val="24"/>
          <w:szCs w:val="24"/>
        </w:rPr>
      </w:r>
      <w:r>
        <w:rPr>
          <w:bCs/>
          <w:spacing w:val="-14"/>
          <w:sz w:val="24"/>
          <w:szCs w:val="24"/>
        </w:rPr>
      </w:r>
      <w:r>
        <w:rPr>
          <w:bCs/>
          <w:spacing w:val="-14"/>
          <w:sz w:val="24"/>
          <w:szCs w:val="24"/>
        </w:rPr>
      </w:r>
    </w:p>
    <w:sectPr>
      <w:headerReference w:type="default" r:id="rId9"/>
      <w:headerReference w:type="even" r:id="rId10"/>
      <w:footerReference w:type="first" r:id="rId11"/>
      <w:footnotePr/>
      <w:endnotePr/>
      <w:type w:val="nextPage"/>
      <w:pgSz w:w="11909" w:h="16834" w:orient="portrait"/>
      <w:pgMar w:top="1134" w:right="567" w:bottom="1134" w:left="1701" w:header="720" w:footer="456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108" w:right="-108" w:firstLine="58"/>
      <w:jc w:val="center"/>
      <w:spacing w:line="274" w:lineRule="exact"/>
      <w:shd w:val="clear" w:color="auto" w:fill="ffffff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  <w:p>
    <w:pPr>
      <w:pStyle w:val="899"/>
      <w:rPr>
        <w:sz w:val="16"/>
      </w:rPr>
    </w:pPr>
    <w:r>
      <w:t xml:space="preserve">Внутренний номер: </w:t>
    </w:r>
    <w:r>
      <w:t xml:space="preserve">0381076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rPr>
        <w:rStyle w:val="896"/>
        <w:sz w:val="24"/>
        <w:szCs w:val="24"/>
      </w:rPr>
      <w:framePr w:wrap="around" w:vAnchor="text" w:hAnchor="margin" w:xAlign="center" w:y="1"/>
    </w:pPr>
    <w:r>
      <w:rPr>
        <w:rStyle w:val="896"/>
        <w:sz w:val="24"/>
        <w:szCs w:val="24"/>
      </w:rPr>
      <w:fldChar w:fldCharType="begin"/>
    </w:r>
    <w:r>
      <w:rPr>
        <w:rStyle w:val="896"/>
        <w:sz w:val="24"/>
        <w:szCs w:val="24"/>
      </w:rPr>
      <w:instrText xml:space="preserve">PAGE  </w:instrText>
    </w:r>
    <w:r>
      <w:rPr>
        <w:rStyle w:val="896"/>
        <w:sz w:val="24"/>
        <w:szCs w:val="24"/>
      </w:rPr>
      <w:fldChar w:fldCharType="separate"/>
    </w:r>
    <w:r>
      <w:rPr>
        <w:rStyle w:val="896"/>
        <w:sz w:val="24"/>
        <w:szCs w:val="24"/>
      </w:rPr>
      <w:t xml:space="preserve">2</w:t>
    </w:r>
    <w:r>
      <w:rPr>
        <w:rStyle w:val="896"/>
        <w:sz w:val="24"/>
        <w:szCs w:val="24"/>
      </w:rPr>
      <w:fldChar w:fldCharType="end"/>
    </w:r>
    <w:r>
      <w:rPr>
        <w:rStyle w:val="896"/>
        <w:sz w:val="24"/>
        <w:szCs w:val="24"/>
      </w:rPr>
    </w:r>
    <w:r>
      <w:rPr>
        <w:rStyle w:val="896"/>
        <w:sz w:val="24"/>
        <w:szCs w:val="24"/>
      </w:rPr>
    </w:r>
  </w:p>
  <w:p>
    <w:pPr>
      <w:pStyle w:val="8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rPr>
        <w:rStyle w:val="896"/>
      </w:rPr>
      <w:framePr w:wrap="around" w:vAnchor="text" w:hAnchor="margin" w:xAlign="center" w:y="1"/>
    </w:pPr>
    <w:r>
      <w:rPr>
        <w:rStyle w:val="896"/>
      </w:rPr>
      <w:fldChar w:fldCharType="begin"/>
    </w:r>
    <w:r>
      <w:rPr>
        <w:rStyle w:val="896"/>
      </w:rPr>
      <w:instrText xml:space="preserve">PAGE  </w:instrText>
    </w:r>
    <w:r>
      <w:rPr>
        <w:rStyle w:val="896"/>
      </w:rPr>
      <w:fldChar w:fldCharType="end"/>
    </w:r>
    <w:r>
      <w:rPr>
        <w:rStyle w:val="896"/>
      </w:rPr>
    </w:r>
    <w:r>
      <w:rPr>
        <w:rStyle w:val="896"/>
      </w:rPr>
    </w:r>
  </w:p>
  <w:p>
    <w:pPr>
      <w:pStyle w:val="89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  <w:tabs>
          <w:tab w:val="num" w:pos="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90"/>
    <w:next w:val="890"/>
    <w:link w:val="7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5">
    <w:name w:val="Heading 1 Char"/>
    <w:basedOn w:val="891"/>
    <w:link w:val="7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>
    <w:name w:val="Heading 2"/>
    <w:basedOn w:val="890"/>
    <w:next w:val="890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>
    <w:name w:val="Heading 2 Char"/>
    <w:basedOn w:val="891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>
    <w:name w:val="Heading 3"/>
    <w:basedOn w:val="890"/>
    <w:next w:val="890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9">
    <w:name w:val="Heading 3 Char"/>
    <w:basedOn w:val="891"/>
    <w:link w:val="7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0">
    <w:name w:val="Heading 4"/>
    <w:basedOn w:val="890"/>
    <w:next w:val="890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1">
    <w:name w:val="Heading 4 Char"/>
    <w:basedOn w:val="891"/>
    <w:link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>
    <w:name w:val="Heading 5"/>
    <w:basedOn w:val="890"/>
    <w:next w:val="890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>
    <w:name w:val="Heading 5 Char"/>
    <w:basedOn w:val="891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4">
    <w:name w:val="Heading 6"/>
    <w:basedOn w:val="890"/>
    <w:next w:val="890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5">
    <w:name w:val="Heading 6 Char"/>
    <w:basedOn w:val="891"/>
    <w:link w:val="7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6">
    <w:name w:val="Heading 7"/>
    <w:basedOn w:val="890"/>
    <w:next w:val="890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7">
    <w:name w:val="Heading 7 Char"/>
    <w:basedOn w:val="891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8">
    <w:name w:val="Heading 8"/>
    <w:basedOn w:val="890"/>
    <w:next w:val="890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9">
    <w:name w:val="Heading 8 Char"/>
    <w:basedOn w:val="891"/>
    <w:link w:val="7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0">
    <w:name w:val="Heading 9"/>
    <w:basedOn w:val="890"/>
    <w:next w:val="89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1">
    <w:name w:val="Heading 9 Char"/>
    <w:basedOn w:val="891"/>
    <w:link w:val="7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2">
    <w:name w:val="List Paragraph"/>
    <w:basedOn w:val="890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before="0" w:after="0" w:line="240" w:lineRule="auto"/>
    </w:pPr>
  </w:style>
  <w:style w:type="paragraph" w:styleId="734">
    <w:name w:val="Title"/>
    <w:basedOn w:val="890"/>
    <w:next w:val="890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basedOn w:val="891"/>
    <w:link w:val="734"/>
    <w:uiPriority w:val="10"/>
    <w:rPr>
      <w:sz w:val="48"/>
      <w:szCs w:val="48"/>
    </w:rPr>
  </w:style>
  <w:style w:type="paragraph" w:styleId="736">
    <w:name w:val="Subtitle"/>
    <w:basedOn w:val="890"/>
    <w:next w:val="890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basedOn w:val="891"/>
    <w:link w:val="736"/>
    <w:uiPriority w:val="11"/>
    <w:rPr>
      <w:sz w:val="24"/>
      <w:szCs w:val="24"/>
    </w:rPr>
  </w:style>
  <w:style w:type="paragraph" w:styleId="738">
    <w:name w:val="Quote"/>
    <w:basedOn w:val="890"/>
    <w:next w:val="890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0"/>
    <w:next w:val="890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character" w:styleId="742">
    <w:name w:val="Header Char"/>
    <w:basedOn w:val="891"/>
    <w:link w:val="895"/>
    <w:uiPriority w:val="99"/>
  </w:style>
  <w:style w:type="character" w:styleId="743">
    <w:name w:val="Footer Char"/>
    <w:basedOn w:val="891"/>
    <w:link w:val="899"/>
    <w:uiPriority w:val="99"/>
  </w:style>
  <w:style w:type="paragraph" w:styleId="744">
    <w:name w:val="Caption"/>
    <w:basedOn w:val="890"/>
    <w:next w:val="890"/>
    <w:link w:val="7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>
    <w:name w:val="Caption Char"/>
    <w:basedOn w:val="891"/>
    <w:link w:val="744"/>
    <w:uiPriority w:val="35"/>
    <w:rPr>
      <w:b/>
      <w:bCs/>
      <w:color w:val="4f81bd" w:themeColor="accent1"/>
      <w:sz w:val="18"/>
      <w:szCs w:val="18"/>
    </w:rPr>
  </w:style>
  <w:style w:type="table" w:styleId="746">
    <w:name w:val="Table Grid"/>
    <w:basedOn w:val="89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9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4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5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6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7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8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9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0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1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3">
    <w:name w:val="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4">
    <w:name w:val="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5">
    <w:name w:val="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6">
    <w:name w:val="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7">
    <w:name w:val="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8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0">
    <w:name w:val="Bordered &amp; 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Bordered &amp; 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Bordered &amp; 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Bordered &amp; 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4">
    <w:name w:val="Bordered &amp; 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890"/>
    <w:link w:val="874"/>
    <w:uiPriority w:val="99"/>
    <w:semiHidden/>
    <w:unhideWhenUsed/>
    <w:pPr>
      <w:spacing w:after="40" w:line="240" w:lineRule="auto"/>
    </w:pPr>
    <w:rPr>
      <w:sz w:val="18"/>
    </w:rPr>
  </w:style>
  <w:style w:type="character" w:styleId="874">
    <w:name w:val="Footnote Text Char"/>
    <w:link w:val="873"/>
    <w:uiPriority w:val="99"/>
    <w:rPr>
      <w:sz w:val="18"/>
    </w:rPr>
  </w:style>
  <w:style w:type="character" w:styleId="875">
    <w:name w:val="footnote reference"/>
    <w:basedOn w:val="891"/>
    <w:uiPriority w:val="99"/>
    <w:unhideWhenUsed/>
    <w:rPr>
      <w:vertAlign w:val="superscript"/>
    </w:rPr>
  </w:style>
  <w:style w:type="paragraph" w:styleId="876">
    <w:name w:val="endnote text"/>
    <w:basedOn w:val="890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>
    <w:name w:val="Endnote Text Char"/>
    <w:link w:val="876"/>
    <w:uiPriority w:val="99"/>
    <w:rPr>
      <w:sz w:val="20"/>
    </w:rPr>
  </w:style>
  <w:style w:type="character" w:styleId="878">
    <w:name w:val="endnote reference"/>
    <w:basedOn w:val="891"/>
    <w:uiPriority w:val="99"/>
    <w:semiHidden/>
    <w:unhideWhenUsed/>
    <w:rPr>
      <w:vertAlign w:val="superscript"/>
    </w:rPr>
  </w:style>
  <w:style w:type="paragraph" w:styleId="879">
    <w:name w:val="toc 1"/>
    <w:basedOn w:val="890"/>
    <w:next w:val="890"/>
    <w:uiPriority w:val="39"/>
    <w:unhideWhenUsed/>
    <w:pPr>
      <w:ind w:left="0" w:right="0" w:firstLine="0"/>
      <w:spacing w:after="57"/>
    </w:pPr>
  </w:style>
  <w:style w:type="paragraph" w:styleId="880">
    <w:name w:val="toc 2"/>
    <w:basedOn w:val="890"/>
    <w:next w:val="890"/>
    <w:uiPriority w:val="39"/>
    <w:unhideWhenUsed/>
    <w:pPr>
      <w:ind w:left="283" w:right="0" w:firstLine="0"/>
      <w:spacing w:after="57"/>
    </w:pPr>
  </w:style>
  <w:style w:type="paragraph" w:styleId="881">
    <w:name w:val="toc 3"/>
    <w:basedOn w:val="890"/>
    <w:next w:val="890"/>
    <w:uiPriority w:val="39"/>
    <w:unhideWhenUsed/>
    <w:pPr>
      <w:ind w:left="567" w:right="0" w:firstLine="0"/>
      <w:spacing w:after="57"/>
    </w:pPr>
  </w:style>
  <w:style w:type="paragraph" w:styleId="882">
    <w:name w:val="toc 4"/>
    <w:basedOn w:val="890"/>
    <w:next w:val="890"/>
    <w:uiPriority w:val="39"/>
    <w:unhideWhenUsed/>
    <w:pPr>
      <w:ind w:left="850" w:right="0" w:firstLine="0"/>
      <w:spacing w:after="57"/>
    </w:pPr>
  </w:style>
  <w:style w:type="paragraph" w:styleId="883">
    <w:name w:val="toc 5"/>
    <w:basedOn w:val="890"/>
    <w:next w:val="890"/>
    <w:uiPriority w:val="39"/>
    <w:unhideWhenUsed/>
    <w:pPr>
      <w:ind w:left="1134" w:right="0" w:firstLine="0"/>
      <w:spacing w:after="57"/>
    </w:pPr>
  </w:style>
  <w:style w:type="paragraph" w:styleId="884">
    <w:name w:val="toc 6"/>
    <w:basedOn w:val="890"/>
    <w:next w:val="890"/>
    <w:uiPriority w:val="39"/>
    <w:unhideWhenUsed/>
    <w:pPr>
      <w:ind w:left="1417" w:right="0" w:firstLine="0"/>
      <w:spacing w:after="57"/>
    </w:pPr>
  </w:style>
  <w:style w:type="paragraph" w:styleId="885">
    <w:name w:val="toc 7"/>
    <w:basedOn w:val="890"/>
    <w:next w:val="890"/>
    <w:uiPriority w:val="39"/>
    <w:unhideWhenUsed/>
    <w:pPr>
      <w:ind w:left="1701" w:right="0" w:firstLine="0"/>
      <w:spacing w:after="57"/>
    </w:pPr>
  </w:style>
  <w:style w:type="paragraph" w:styleId="886">
    <w:name w:val="toc 8"/>
    <w:basedOn w:val="890"/>
    <w:next w:val="890"/>
    <w:uiPriority w:val="39"/>
    <w:unhideWhenUsed/>
    <w:pPr>
      <w:ind w:left="1984" w:right="0" w:firstLine="0"/>
      <w:spacing w:after="57"/>
    </w:pPr>
  </w:style>
  <w:style w:type="paragraph" w:styleId="887">
    <w:name w:val="toc 9"/>
    <w:basedOn w:val="890"/>
    <w:next w:val="890"/>
    <w:uiPriority w:val="39"/>
    <w:unhideWhenUsed/>
    <w:pPr>
      <w:ind w:left="2268" w:right="0" w:firstLine="0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890"/>
    <w:next w:val="890"/>
    <w:uiPriority w:val="99"/>
    <w:unhideWhenUsed/>
    <w:pPr>
      <w:spacing w:after="0" w:afterAutospacing="0"/>
    </w:pPr>
  </w:style>
  <w:style w:type="paragraph" w:styleId="890" w:default="1">
    <w:name w:val="Normal"/>
    <w:qFormat/>
    <w:pPr>
      <w:widowControl w:val="off"/>
    </w:pPr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Plain Text"/>
    <w:basedOn w:val="890"/>
    <w:pPr>
      <w:widowControl/>
    </w:pPr>
    <w:rPr>
      <w:rFonts w:ascii="Courier New" w:hAnsi="Courier New" w:cs="Courier New"/>
    </w:rPr>
  </w:style>
  <w:style w:type="paragraph" w:styleId="895">
    <w:name w:val="Header"/>
    <w:basedOn w:val="890"/>
    <w:pPr>
      <w:tabs>
        <w:tab w:val="center" w:pos="4677" w:leader="none"/>
        <w:tab w:val="right" w:pos="9355" w:leader="none"/>
      </w:tabs>
    </w:pPr>
  </w:style>
  <w:style w:type="character" w:styleId="896">
    <w:name w:val="page number"/>
    <w:basedOn w:val="891"/>
  </w:style>
  <w:style w:type="paragraph" w:styleId="897">
    <w:name w:val="Balloon Text"/>
    <w:basedOn w:val="890"/>
    <w:link w:val="898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98" w:customStyle="1">
    <w:name w:val="Текст выноски Знак"/>
    <w:link w:val="897"/>
    <w:uiPriority w:val="99"/>
    <w:semiHidden/>
    <w:rPr>
      <w:rFonts w:ascii="Segoe UI" w:hAnsi="Segoe UI" w:cs="Segoe UI"/>
      <w:sz w:val="18"/>
      <w:szCs w:val="18"/>
    </w:rPr>
  </w:style>
  <w:style w:type="paragraph" w:styleId="899">
    <w:name w:val="Footer"/>
    <w:basedOn w:val="890"/>
    <w:link w:val="900"/>
    <w:unhideWhenUsed/>
    <w:pPr>
      <w:tabs>
        <w:tab w:val="center" w:pos="4677" w:leader="none"/>
        <w:tab w:val="right" w:pos="9355" w:leader="none"/>
      </w:tabs>
    </w:pPr>
  </w:style>
  <w:style w:type="character" w:styleId="900" w:customStyle="1">
    <w:name w:val="Нижний колонтитул Знак"/>
    <w:basedOn w:val="891"/>
    <w:link w:val="8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28522-50DA-45C2-9E63-A0D72C75D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G&amp;P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Forward</dc:creator>
  <cp:keywords/>
  <dc:description/>
  <cp:lastModifiedBy>Trofimova</cp:lastModifiedBy>
  <cp:revision>14</cp:revision>
  <dcterms:created xsi:type="dcterms:W3CDTF">2025-08-12T04:20:00Z</dcterms:created>
  <dcterms:modified xsi:type="dcterms:W3CDTF">2026-08-19T06:49:16Z</dcterms:modified>
</cp:coreProperties>
</file>