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0"/>
        <w:tblpPr w:horzAnchor="text" w:tblpXSpec="right" w:vertAnchor="text" w:tblpY="1" w:leftFromText="180" w:topFromText="0" w:rightFromText="180" w:bottomFromText="0"/>
        <w:tblW w:w="3435" w:type="dxa"/>
        <w:tblLook w:val="04A0" w:firstRow="1" w:lastRow="0" w:firstColumn="1" w:lastColumn="0" w:noHBand="0" w:noVBand="1"/>
      </w:tblPr>
      <w:tblGrid>
        <w:gridCol w:w="3435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 CYR" w:hAnsi="Times New Roman CYR" w:eastAsia="Calibri" w:cs="Times New Roman CYR"/>
          <w:lang w:eastAsia="ru-RU"/>
        </w:rPr>
      </w:pPr>
      <w:r>
        <w:rPr>
          <w:rFonts w:ascii="Times New Roman CYR" w:hAnsi="Times New Roman CYR" w:eastAsia="Calibri" w:cs="Times New Roman CYR"/>
          <w:szCs w:val="24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lang w:eastAsia="ru-RU"/>
        </w:rPr>
      </w:r>
      <w:r>
        <w:rPr>
          <w:rFonts w:ascii="Times New Roman CYR" w:hAnsi="Times New Roman CYR" w:eastAsia="Calibri" w:cs="Times New Roman CYR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highlight w:val="none"/>
          <w:lang w:eastAsia="ru-RU"/>
        </w:rPr>
      </w:pPr>
      <w:r>
        <w:rPr>
          <w:rFonts w:ascii="Times New Roman CYR" w:hAnsi="Times New Roman CYR" w:eastAsia="Calibri" w:cs="Times New Roman CYR"/>
          <w:szCs w:val="24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highlight w:val="none"/>
          <w:lang w:eastAsia="ru-RU"/>
        </w:rPr>
      </w:pPr>
      <w:r>
        <w:rPr>
          <w:rFonts w:ascii="Times New Roman CYR" w:hAnsi="Times New Roman CYR" w:eastAsia="Calibri" w:cs="Times New Roman CYR"/>
          <w:szCs w:val="24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highlight w:val="none"/>
          <w:lang w:eastAsia="ru-RU"/>
        </w:rPr>
      </w:pPr>
      <w:r>
        <w:rPr>
          <w:rFonts w:ascii="Times New Roman CYR" w:hAnsi="Times New Roman CYR" w:eastAsia="Calibri" w:cs="Times New Roman CYR"/>
          <w:szCs w:val="24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highlight w:val="none"/>
          <w:lang w:eastAsia="ru-RU"/>
        </w:rPr>
      </w:pPr>
      <w:r>
        <w:rPr>
          <w:rFonts w:ascii="Times New Roman" w:hAnsi="Times New Roman" w:cs="Times New Roman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«</w:t>
      </w: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КОМПЛЕКС ПРОЦЕССНЫХ МЕРОПРИЯТИЙ</w:t>
        <w:br/>
        <w:t xml:space="preserve">по обеспечению деятельности </w:t>
      </w: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Управления капитального строительства </w:t>
      </w: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Администрации ЗАТО Северск</w:t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  <w:r>
        <w:rPr>
          <w:rFonts w:ascii="Times New Roman CYR" w:hAnsi="Times New Roman CYR" w:eastAsia="Calibri" w:cs="Times New Roman CYR"/>
          <w:highlight w:val="none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szCs w:val="24"/>
          <w:lang w:eastAsia="ru-RU"/>
        </w:rPr>
      </w:pP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szCs w:val="24"/>
          <w:lang w:eastAsia="ru-RU"/>
        </w:rPr>
      </w:pP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ФИНАНСОВОЕ ОБЕСПЕЧЕНИЕ</w:t>
        <w:br/>
        <w:t xml:space="preserve">деятельности ответственного </w:t>
      </w: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исполнителя муниципальной программы «Дорожная деятельность</w:t>
      </w: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szCs w:val="24"/>
          <w:lang w:eastAsia="ru-RU"/>
        </w:rPr>
      </w:pP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и транспортное обслуживание на территории ЗАТО Северск»</w:t>
      </w: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</w:p>
    <w:p>
      <w:pPr>
        <w:jc w:val="center"/>
        <w:rPr>
          <w:rFonts w:ascii="Times New Roman CYR" w:hAnsi="Times New Roman CYR" w:eastAsia="Calibri" w:cs="Times New Roman CYR"/>
          <w:szCs w:val="24"/>
          <w:lang w:eastAsia="ru-RU"/>
        </w:rPr>
      </w:pP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на 2025 - 2027 годы</w:t>
      </w: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</w:p>
    <w:p>
      <w:pPr>
        <w:jc w:val="center"/>
        <w:widowControl w:val="off"/>
        <w:rPr>
          <w:rFonts w:ascii="Times New Roman CYR" w:hAnsi="Times New Roman CYR" w:eastAsia="Calibri" w:cs="Times New Roman CYR"/>
          <w:szCs w:val="24"/>
          <w:lang w:eastAsia="ru-RU"/>
        </w:rPr>
      </w:pP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</w:p>
    <w:p>
      <w:pPr>
        <w:jc w:val="right"/>
        <w:widowControl w:val="off"/>
        <w:rPr>
          <w:rFonts w:ascii="Times New Roman CYR" w:hAnsi="Times New Roman CYR" w:eastAsia="Calibri" w:cs="Times New Roman CYR"/>
          <w:szCs w:val="24"/>
          <w:lang w:eastAsia="ru-RU"/>
        </w:rPr>
      </w:pPr>
      <w:r>
        <w:rPr>
          <w:rFonts w:ascii="Times New Roman CYR" w:hAnsi="Times New Roman CYR" w:eastAsia="Calibri" w:cs="Times New Roman CYR"/>
          <w:szCs w:val="24"/>
          <w:lang w:eastAsia="ru-RU"/>
        </w:rPr>
        <w:t xml:space="preserve">Таблица 2</w:t>
      </w:r>
      <w:r>
        <w:rPr>
          <w:rFonts w:ascii="Times New Roman CYR" w:hAnsi="Times New Roman CYR" w:eastAsia="Calibri" w:cs="Times New Roman CYR"/>
          <w:szCs w:val="24"/>
          <w:lang w:eastAsia="ru-RU"/>
        </w:rPr>
      </w:r>
      <w:r>
        <w:rPr>
          <w:rFonts w:ascii="Times New Roman CYR" w:hAnsi="Times New Roman CYR" w:eastAsia="Calibri" w:cs="Times New Roman CYR"/>
          <w:szCs w:val="24"/>
          <w:lang w:eastAsia="ru-RU"/>
        </w:rPr>
      </w:r>
    </w:p>
    <w:tbl>
      <w:tblPr>
        <w:tblStyle w:val="918"/>
        <w:tblW w:w="5000" w:type="pct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6370"/>
        <w:gridCol w:w="1701"/>
        <w:gridCol w:w="1559"/>
        <w:gridCol w:w="1417"/>
        <w:gridCol w:w="1536"/>
        <w:gridCol w:w="1662"/>
      </w:tblGrid>
      <w:tr>
        <w:tblPrEx/>
        <w:trPr>
          <w:trHeight w:val="537"/>
        </w:trPr>
        <w:tc>
          <w:tcPr>
            <w:tcW w:w="54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</w:pPr>
            <w:r/>
            <w:r/>
          </w:p>
        </w:tc>
        <w:tc>
          <w:tcPr>
            <w:tcW w:w="637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исполнитель, соисполнитель, участник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29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r/>
            <w:r/>
          </w:p>
        </w:tc>
        <w:tc>
          <w:tcPr>
            <w:gridSpan w:val="5"/>
            <w:tcW w:w="7875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Распределение объема финансирования</w:t>
            </w:r>
            <w:r/>
          </w:p>
        </w:tc>
      </w:tr>
      <w:tr>
        <w:tblPrEx/>
        <w:trPr>
          <w:trHeight w:val="408"/>
        </w:trPr>
        <w:tc>
          <w:tcPr>
            <w:tcBorders>
              <w:bottom w:val="single" w:color="000000" w:sz="4" w:space="0"/>
            </w:tcBorders>
            <w:tcW w:w="5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single" w:color="000000" w:sz="4" w:space="0"/>
            </w:tcBorders>
            <w:tcW w:w="637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536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6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(прогнозный период)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>
          <w:tblBorders>
            <w:bottom w:val="single" w:color="auto" w:sz="4" w:space="0"/>
          </w:tblBorders>
        </w:tblPrEx>
        <w:trPr>
          <w:trHeight w:val="570"/>
        </w:trPr>
        <w:tc>
          <w:tcPr>
            <w:tcBorders>
              <w:bottom w:val="single" w:color="000000" w:sz="4" w:space="0"/>
            </w:tcBorders>
            <w:tcW w:w="541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/>
            <w:bookmarkStart w:id="0" w:name="Par1158"/>
            <w:r/>
            <w:bookmarkStart w:id="1" w:name="Par1160"/>
            <w:r/>
            <w:bookmarkEnd w:id="0"/>
            <w:r/>
            <w:bookmarkEnd w:id="1"/>
            <w:r>
              <w:rPr>
                <w:sz w:val="24"/>
                <w:szCs w:val="24"/>
              </w:rPr>
              <w:t xml:space="preserve"> 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6370" w:type="dxa"/>
            <w:vMerge w:val="restart"/>
            <w:textDirection w:val="lrTb"/>
            <w:noWrap w:val="false"/>
          </w:tcPr>
          <w:p>
            <w:pPr>
              <w:ind w:left="29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Соисполнитель – Управление капитального строительства </w:t>
              <w:br/>
              <w:t xml:space="preserve">Администрации </w:t>
            </w:r>
            <w:r>
              <w:rPr>
                <w:sz w:val="24"/>
                <w:szCs w:val="24"/>
              </w:rPr>
              <w:t xml:space="preserve">ЗАТО </w:t>
            </w:r>
            <w:r>
              <w:rPr>
                <w:sz w:val="24"/>
                <w:szCs w:val="24"/>
              </w:rPr>
              <w:t xml:space="preserve">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110 921,50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37 267,75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37 480,50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36 173,25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62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36 173,25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bottom w:val="single" w:color="auto" w:sz="4" w:space="0"/>
          </w:tblBorders>
        </w:tblPrEx>
        <w:trPr/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 объем финансирования по обеспечивающей </w:t>
              <w:br/>
              <w:t xml:space="preserve">подпрограмме, тыс.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110 921,50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37 267,75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37 480,50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6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36 173,25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2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36 173,25»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</w:t>
    </w:r>
    <w:r>
      <w:t xml:space="preserve">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0381818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56117575"/>
      <w:docPartObj>
        <w:docPartGallery w:val="Page Numbers (Top of Page)"/>
        <w:docPartUnique w:val="true"/>
      </w:docPartObj>
      <w:rPr/>
    </w:sdtPr>
    <w:sdtContent>
      <w:p>
        <w:pPr>
          <w:pStyle w:val="9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91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1">
    <w:name w:val="Heading 1"/>
    <w:basedOn w:val="906"/>
    <w:next w:val="906"/>
    <w:link w:val="73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2">
    <w:name w:val="Heading 1 Char"/>
    <w:basedOn w:val="907"/>
    <w:link w:val="73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3">
    <w:name w:val="Heading 2"/>
    <w:basedOn w:val="906"/>
    <w:next w:val="906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4">
    <w:name w:val="Heading 2 Char"/>
    <w:basedOn w:val="907"/>
    <w:link w:val="733"/>
    <w:uiPriority w:val="9"/>
    <w:rPr>
      <w:rFonts w:ascii="Liberation Sans" w:hAnsi="Liberation Sans" w:eastAsia="Liberation Sans" w:cs="Liberation Sans"/>
      <w:sz w:val="34"/>
    </w:rPr>
  </w:style>
  <w:style w:type="paragraph" w:styleId="735">
    <w:name w:val="Heading 3"/>
    <w:basedOn w:val="906"/>
    <w:next w:val="906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6">
    <w:name w:val="Heading 3 Char"/>
    <w:basedOn w:val="907"/>
    <w:link w:val="73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7">
    <w:name w:val="Heading 4"/>
    <w:basedOn w:val="906"/>
    <w:next w:val="906"/>
    <w:link w:val="73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8">
    <w:name w:val="Heading 4 Char"/>
    <w:basedOn w:val="907"/>
    <w:link w:val="73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9">
    <w:name w:val="Heading 5"/>
    <w:basedOn w:val="906"/>
    <w:next w:val="906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0">
    <w:name w:val="Heading 5 Char"/>
    <w:basedOn w:val="907"/>
    <w:link w:val="73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1">
    <w:name w:val="Heading 6"/>
    <w:basedOn w:val="906"/>
    <w:next w:val="906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2">
    <w:name w:val="Heading 6 Char"/>
    <w:basedOn w:val="907"/>
    <w:link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3">
    <w:name w:val="Heading 7"/>
    <w:basedOn w:val="906"/>
    <w:next w:val="906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4">
    <w:name w:val="Heading 7 Char"/>
    <w:basedOn w:val="907"/>
    <w:link w:val="74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5">
    <w:name w:val="Heading 8"/>
    <w:basedOn w:val="906"/>
    <w:next w:val="906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6">
    <w:name w:val="Heading 8 Char"/>
    <w:basedOn w:val="907"/>
    <w:link w:val="74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7">
    <w:name w:val="Heading 9"/>
    <w:basedOn w:val="906"/>
    <w:next w:val="906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8">
    <w:name w:val="Heading 9 Char"/>
    <w:basedOn w:val="907"/>
    <w:link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9">
    <w:name w:val="List Paragraph"/>
    <w:basedOn w:val="906"/>
    <w:uiPriority w:val="34"/>
    <w:qFormat/>
    <w:pPr>
      <w:contextualSpacing/>
      <w:ind w:left="720"/>
    </w:p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06"/>
    <w:next w:val="906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7"/>
    <w:link w:val="751"/>
    <w:uiPriority w:val="10"/>
    <w:rPr>
      <w:sz w:val="48"/>
      <w:szCs w:val="48"/>
    </w:rPr>
  </w:style>
  <w:style w:type="paragraph" w:styleId="753">
    <w:name w:val="Subtitle"/>
    <w:basedOn w:val="906"/>
    <w:next w:val="906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7"/>
    <w:link w:val="753"/>
    <w:uiPriority w:val="11"/>
    <w:rPr>
      <w:sz w:val="24"/>
      <w:szCs w:val="24"/>
    </w:rPr>
  </w:style>
  <w:style w:type="paragraph" w:styleId="755">
    <w:name w:val="Quote"/>
    <w:basedOn w:val="906"/>
    <w:next w:val="906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6"/>
    <w:next w:val="906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7"/>
    <w:link w:val="913"/>
    <w:uiPriority w:val="99"/>
  </w:style>
  <w:style w:type="character" w:styleId="760">
    <w:name w:val="Footer Char"/>
    <w:basedOn w:val="907"/>
    <w:link w:val="915"/>
    <w:uiPriority w:val="99"/>
  </w:style>
  <w:style w:type="paragraph" w:styleId="761">
    <w:name w:val="Caption"/>
    <w:basedOn w:val="906"/>
    <w:next w:val="906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907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 Light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5">
    <w:name w:val="Plain Table 2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0">
    <w:name w:val="Grid Table 6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1">
    <w:name w:val="Grid Table 7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5 Dark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8">
    <w:name w:val="List Table 5 Dark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9">
    <w:name w:val="List Table 5 Dark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6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2">
    <w:name w:val="List Table 7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67">
    <w:name w:val="Lined - Accent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8">
    <w:name w:val="Hyperlink"/>
    <w:uiPriority w:val="99"/>
    <w:unhideWhenUsed/>
    <w:rPr>
      <w:color w:val="0000ff" w:themeColor="hyperlink"/>
      <w:u w:val="single"/>
    </w:rPr>
  </w:style>
  <w:style w:type="paragraph" w:styleId="889">
    <w:name w:val="footnote text"/>
    <w:basedOn w:val="906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basedOn w:val="907"/>
    <w:uiPriority w:val="99"/>
    <w:unhideWhenUsed/>
    <w:rPr>
      <w:vertAlign w:val="superscript"/>
    </w:rPr>
  </w:style>
  <w:style w:type="paragraph" w:styleId="892">
    <w:name w:val="endnote text"/>
    <w:basedOn w:val="906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>
    <w:name w:val="Endnote Text Char"/>
    <w:link w:val="892"/>
    <w:uiPriority w:val="99"/>
    <w:rPr>
      <w:sz w:val="20"/>
    </w:rPr>
  </w:style>
  <w:style w:type="character" w:styleId="894">
    <w:name w:val="endnote reference"/>
    <w:basedOn w:val="907"/>
    <w:uiPriority w:val="99"/>
    <w:semiHidden/>
    <w:unhideWhenUsed/>
    <w:rPr>
      <w:vertAlign w:val="superscript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</w:style>
  <w:style w:type="character" w:styleId="907" w:default="1">
    <w:name w:val="Default Paragraph Font"/>
    <w:uiPriority w:val="1"/>
    <w:semiHidden/>
    <w:unhideWhenUsed/>
  </w:style>
  <w:style w:type="table" w:styleId="9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9" w:default="1">
    <w:name w:val="No List"/>
    <w:uiPriority w:val="99"/>
    <w:semiHidden/>
    <w:unhideWhenUsed/>
  </w:style>
  <w:style w:type="table" w:styleId="910">
    <w:name w:val="Table Grid"/>
    <w:basedOn w:val="90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1">
    <w:name w:val="Balloon Text"/>
    <w:basedOn w:val="906"/>
    <w:link w:val="912"/>
    <w:uiPriority w:val="99"/>
    <w:semiHidden/>
    <w:unhideWhenUsed/>
    <w:rPr>
      <w:rFonts w:ascii="Tahoma" w:hAnsi="Tahoma" w:cs="Tahoma"/>
      <w:sz w:val="16"/>
      <w:szCs w:val="16"/>
    </w:rPr>
  </w:style>
  <w:style w:type="character" w:styleId="912" w:customStyle="1">
    <w:name w:val="Текст выноски Знак"/>
    <w:basedOn w:val="907"/>
    <w:link w:val="911"/>
    <w:uiPriority w:val="99"/>
    <w:semiHidden/>
    <w:rPr>
      <w:rFonts w:ascii="Tahoma" w:hAnsi="Tahoma" w:cs="Tahoma"/>
      <w:sz w:val="16"/>
      <w:szCs w:val="16"/>
    </w:rPr>
  </w:style>
  <w:style w:type="paragraph" w:styleId="913">
    <w:name w:val="Header"/>
    <w:basedOn w:val="906"/>
    <w:link w:val="91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4" w:customStyle="1">
    <w:name w:val="Верхний колонтитул Знак"/>
    <w:basedOn w:val="907"/>
    <w:link w:val="913"/>
    <w:uiPriority w:val="99"/>
  </w:style>
  <w:style w:type="paragraph" w:styleId="915">
    <w:name w:val="Footer"/>
    <w:basedOn w:val="906"/>
    <w:link w:val="916"/>
    <w:unhideWhenUsed/>
    <w:pPr>
      <w:tabs>
        <w:tab w:val="center" w:pos="4677" w:leader="none"/>
        <w:tab w:val="right" w:pos="9355" w:leader="none"/>
      </w:tabs>
    </w:pPr>
  </w:style>
  <w:style w:type="character" w:styleId="916" w:customStyle="1">
    <w:name w:val="Нижний колонтитул Знак"/>
    <w:basedOn w:val="907"/>
    <w:link w:val="915"/>
  </w:style>
  <w:style w:type="table" w:styleId="917" w:customStyle="1">
    <w:name w:val="Сетка таблицы1"/>
    <w:basedOn w:val="908"/>
    <w:next w:val="910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8" w:customStyle="1">
    <w:name w:val="Сетка таблицы2"/>
    <w:basedOn w:val="908"/>
    <w:next w:val="910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70</cp:revision>
  <dcterms:created xsi:type="dcterms:W3CDTF">2021-09-02T04:31:00Z</dcterms:created>
  <dcterms:modified xsi:type="dcterms:W3CDTF">2026-09-02T04:16:46Z</dcterms:modified>
</cp:coreProperties>
</file>