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8"/>
        <w:ind w:left="10915" w:right="0" w:firstLine="140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УТВЕРЖДЕН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878"/>
        <w:ind w:left="10915" w:right="0" w:firstLine="140"/>
        <w:jc w:val="both"/>
        <w:spacing w:before="180"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постановлением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878"/>
        <w:ind w:left="10915" w:right="0" w:firstLine="140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pStyle w:val="878"/>
        <w:ind w:left="10915" w:right="0" w:firstLine="140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от _21.08.2026___№___1746-па__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5" w:right="146"/>
        <w:jc w:val="center"/>
        <w:spacing w:after="0" w:line="240" w:lineRule="auto"/>
        <w:widowControl w:val="off"/>
        <w:rPr>
          <w:rFonts w:ascii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 w:eastAsia="Times New Roman"/>
          <w:spacing w:val="-2"/>
          <w:sz w:val="24"/>
          <w:szCs w:val="24"/>
        </w:rPr>
      </w:r>
      <w:r>
        <w:rPr>
          <w:rFonts w:ascii="Times New Roman" w:hAnsi="Times New Roman" w:eastAsia="Times New Roman"/>
          <w:spacing w:val="-2"/>
          <w:sz w:val="24"/>
          <w:szCs w:val="24"/>
        </w:rPr>
      </w:r>
      <w:r>
        <w:rPr>
          <w:rFonts w:ascii="Times New Roman" w:hAnsi="Times New Roman" w:eastAsia="Times New Roman"/>
          <w:spacing w:val="-2"/>
          <w:sz w:val="24"/>
          <w:szCs w:val="24"/>
        </w:rPr>
      </w:r>
    </w:p>
    <w:p>
      <w:pPr>
        <w:pStyle w:val="878"/>
        <w:ind w:left="5" w:right="146"/>
        <w:jc w:val="center"/>
        <w:spacing w:after="0" w:line="240" w:lineRule="auto"/>
        <w:widowControl w:val="off"/>
        <w:rPr>
          <w:rFonts w:ascii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 w:eastAsia="Times New Roman"/>
          <w:spacing w:val="-2"/>
          <w:sz w:val="24"/>
          <w:szCs w:val="24"/>
        </w:rPr>
      </w:r>
      <w:r>
        <w:rPr>
          <w:rFonts w:ascii="Times New Roman" w:hAnsi="Times New Roman" w:eastAsia="Times New Roman"/>
          <w:spacing w:val="-2"/>
          <w:sz w:val="24"/>
          <w:szCs w:val="24"/>
        </w:rPr>
      </w:r>
      <w:r>
        <w:rPr>
          <w:rFonts w:ascii="Times New Roman" w:hAnsi="Times New Roman" w:eastAsia="Times New Roman"/>
          <w:spacing w:val="-2"/>
          <w:sz w:val="24"/>
          <w:szCs w:val="24"/>
        </w:rPr>
      </w:r>
    </w:p>
    <w:p>
      <w:pPr>
        <w:pStyle w:val="878"/>
        <w:ind w:left="5" w:right="-426"/>
        <w:jc w:val="center"/>
        <w:spacing w:after="0" w:line="240" w:lineRule="auto"/>
        <w:widowControl w:val="off"/>
        <w:rPr>
          <w:rFonts w:ascii="Times New Roman" w:hAnsi="Times New Roman" w:eastAsia="Times New Roman"/>
          <w:spacing w:val="-10"/>
          <w:sz w:val="24"/>
          <w:szCs w:val="24"/>
        </w:rPr>
      </w:pPr>
      <w:r>
        <w:rPr>
          <w:rFonts w:ascii="Times New Roman" w:hAnsi="Times New Roman" w:eastAsia="Times New Roman"/>
          <w:spacing w:val="-2"/>
          <w:sz w:val="24"/>
          <w:szCs w:val="24"/>
        </w:rPr>
        <w:t xml:space="preserve">Муниципальный план</w:t>
      </w:r>
      <w:r>
        <w:rPr>
          <w:rFonts w:ascii="Times New Roman" w:hAnsi="Times New Roman" w:eastAsia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-2"/>
          <w:sz w:val="24"/>
          <w:szCs w:val="24"/>
        </w:rPr>
        <w:t xml:space="preserve">мероприятий </w:t>
      </w:r>
      <w:r>
        <w:rPr>
          <w:rFonts w:ascii="Times New Roman" w:hAnsi="Times New Roman" w:eastAsia="Times New Roman"/>
          <w:sz w:val="24"/>
          <w:szCs w:val="24"/>
        </w:rPr>
        <w:t xml:space="preserve">по</w:t>
      </w:r>
      <w:r>
        <w:rPr>
          <w:rFonts w:ascii="Times New Roman" w:hAnsi="Times New Roman" w:eastAsia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реализации</w:t>
      </w:r>
      <w:r>
        <w:rPr>
          <w:rFonts w:ascii="Times New Roman" w:hAnsi="Times New Roman" w:eastAsia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2026</w:t>
      </w:r>
      <w:r>
        <w:rPr>
          <w:rFonts w:ascii="Times New Roman" w:hAnsi="Times New Roman" w:eastAsia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–</w:t>
      </w:r>
      <w:r>
        <w:rPr>
          <w:rFonts w:ascii="Times New Roman" w:hAnsi="Times New Roman" w:eastAsia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2028</w:t>
      </w:r>
      <w:r>
        <w:rPr>
          <w:rFonts w:ascii="Times New Roman" w:hAnsi="Times New Roman" w:eastAsia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годах</w:t>
      </w:r>
      <w:r>
        <w:rPr>
          <w:rFonts w:ascii="Times New Roman" w:hAnsi="Times New Roman" w:eastAsia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Стратегии</w:t>
      </w:r>
      <w:r>
        <w:rPr>
          <w:rFonts w:ascii="Times New Roman" w:hAnsi="Times New Roman" w:eastAsia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государственной</w:t>
      </w:r>
      <w:r>
        <w:rPr>
          <w:rFonts w:ascii="Times New Roman" w:hAnsi="Times New Roman" w:eastAsia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национальной</w:t>
      </w:r>
      <w:r>
        <w:rPr>
          <w:rFonts w:ascii="Times New Roman" w:hAnsi="Times New Roman" w:eastAsia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политики</w:t>
      </w:r>
      <w:r>
        <w:rPr>
          <w:rFonts w:ascii="Times New Roman" w:hAnsi="Times New Roman" w:eastAsia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-4"/>
          <w:sz w:val="24"/>
          <w:szCs w:val="24"/>
        </w:rPr>
      </w:r>
      <w:r>
        <w:rPr>
          <w:rFonts w:ascii="Times New Roman" w:hAnsi="Times New Roman" w:eastAsia="Times New Roman"/>
          <w:spacing w:val="-10"/>
          <w:sz w:val="24"/>
          <w:szCs w:val="24"/>
        </w:rPr>
      </w:r>
    </w:p>
    <w:p>
      <w:pPr>
        <w:ind w:left="5" w:right="-426"/>
        <w:jc w:val="center"/>
        <w:spacing w:after="0" w:line="240" w:lineRule="auto"/>
        <w:widowControl w:val="off"/>
        <w:rPr>
          <w:rFonts w:ascii="Times New Roman" w:hAnsi="Times New Roman" w:eastAsia="Times New Roman"/>
          <w:spacing w:val="-4"/>
          <w:sz w:val="24"/>
          <w:szCs w:val="24"/>
        </w:rPr>
      </w:pPr>
      <w:r>
        <w:rPr>
          <w:rFonts w:ascii="Times New Roman" w:hAnsi="Times New Roman" w:eastAsia="Times New Roman"/>
          <w:spacing w:val="-10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  <w:t xml:space="preserve">Российской</w:t>
      </w:r>
      <w:r>
        <w:rPr>
          <w:rFonts w:ascii="Times New Roman" w:hAnsi="Times New Roman" w:eastAsia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Федерации на</w:t>
      </w:r>
      <w:r>
        <w:rPr>
          <w:rFonts w:ascii="Times New Roman" w:hAnsi="Times New Roman" w:eastAsia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период</w:t>
      </w:r>
      <w:r>
        <w:rPr>
          <w:rFonts w:ascii="Times New Roman" w:hAnsi="Times New Roman" w:eastAsia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до</w:t>
      </w:r>
      <w:r>
        <w:rPr>
          <w:rFonts w:ascii="Times New Roman" w:hAnsi="Times New Roman" w:eastAsia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2036</w:t>
      </w:r>
      <w:r>
        <w:rPr>
          <w:rFonts w:ascii="Times New Roman" w:hAnsi="Times New Roman" w:eastAsia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-4"/>
          <w:sz w:val="24"/>
          <w:szCs w:val="24"/>
        </w:rPr>
        <w:t xml:space="preserve">года в ЗАТО Северск</w:t>
      </w:r>
      <w:r>
        <w:rPr>
          <w:rFonts w:ascii="Times New Roman" w:hAnsi="Times New Roman" w:eastAsia="Times New Roman"/>
          <w:spacing w:val="-4"/>
          <w:sz w:val="24"/>
          <w:szCs w:val="24"/>
        </w:rPr>
      </w:r>
      <w:r>
        <w:rPr>
          <w:rFonts w:ascii="Times New Roman" w:hAnsi="Times New Roman" w:eastAsia="Times New Roman"/>
          <w:spacing w:val="-4"/>
          <w:sz w:val="24"/>
          <w:szCs w:val="24"/>
        </w:rPr>
      </w:r>
    </w:p>
    <w:p>
      <w:pPr>
        <w:pStyle w:val="878"/>
        <w:ind w:right="146"/>
        <w:jc w:val="center"/>
        <w:spacing w:before="1" w:after="0" w:line="240" w:lineRule="auto"/>
        <w:widowControl w:val="off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14546" w:type="dxa"/>
        <w:tblInd w:w="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1E0" w:firstRow="1" w:lastRow="1" w:firstColumn="1" w:lastColumn="1" w:noHBand="0" w:noVBand="0"/>
      </w:tblPr>
      <w:tblGrid>
        <w:gridCol w:w="789"/>
        <w:gridCol w:w="3979"/>
        <w:gridCol w:w="1418"/>
        <w:gridCol w:w="1842"/>
        <w:gridCol w:w="3402"/>
        <w:gridCol w:w="311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587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Срок исполнения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Ответственный исполнитель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Задача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528" w:right="510" w:hanging="1"/>
              <w:jc w:val="center"/>
              <w:spacing w:before="95"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  <w:szCs w:val="24"/>
              </w:rPr>
              <w:t xml:space="preserve">Индикаторы (количественные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или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качественные) для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контроля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исполнения </w:t>
            </w:r>
            <w:r>
              <w:rPr>
                <w:rFonts w:ascii="Times New Roman" w:hAnsi="Times New Roman" w:eastAsia="Times New Roman"/>
                <w:spacing w:val="-2"/>
                <w:sz w:val="24"/>
                <w:szCs w:val="24"/>
              </w:rPr>
              <w:t xml:space="preserve">мероприятия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77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I. Укрепление общероссийской гражданской идентичности (гражданского самосознания) на основе традиционных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российских духовно-нравственных и культурно-исторических ценностей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9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Защита, поддержка и развитие русского языка как государственного языка Российской Федерации, как языка государствообразующего народа и как родного языка, а также продвижение русского языка как языка межнационального общения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2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в реализации мероприятий, посвященных Дню русского языка, в том числе за рубежом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культуры Администрации ЗАТО Северск, Управление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оптимальных условий для использования русского языка и его защиты как государственного языка Российской Федерации, языка межнационального общения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мероприятий – не менее 5; число участников – не менее 100 человек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2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Содействие Минпросвещения России в проведении мониторинга состояния нормативно-правового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регулирования отношений в сфере функционирования русского языка как государственного языка Российской Федерации в Томской области и мониторинга реализации Закона Российской Федерации от 25 октября 1991 года № 1807-1 «О языках народов Российской Федерации»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Постоянно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оптимальных условий для использования русского языка и его защиты как государственного языка Российской Федерации, языка межнационального общения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Факт оказания содействия по проведению мониторинга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2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Повышение квалификации педагогических работников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преподавания русского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языка как государственного языка Российской Федерации и повышение качества владения им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Число педагогических работников, прошедших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обучение по дополнительным профессиональным программам, – не менее 20 человек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81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Формирование у детей и молодежи на всех этапах образовательного и воспитательного процессов гражданского самосознания представлений о единстве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многонационального народа Российской Федерации (российской нации), воспитание патриотизма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8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Внедрение разработанных Минпросвещения России аудиовизуальных материалов по изучению культурных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ценностей и традиций народов Российской Федерации в образовательные программы, реализуемые общеобразовательными организациями, и в образовательные программы дополнительного образования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Включение в образовательные программы, реализуемые организациями,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осуществляющими образовательную деятельность, учебных предметов, курсов, дисциплин (модулей) по изучению традиционных российских духовно-нравственных и культурно-исторических ценностей; совершенствование образовательных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 на различных уровнях образования, а также учебно-методических комплексов по изучению исторического опыта взаимодействия народов Российской Федерации и значимых событий истории России, повлиявших на укрепление гражданского единства и солидарности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внедренных аудиовизуальных материалов – не менее 10 (при наличии)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2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в обновлении основных профессиональных образовательных программ и дополнительных профессиональных программ для подготовки педагогических работников с учетом этнокультурных и региональных особенностей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Профессиональное образование и дополнительное профессиональное образование педагогических работников с учетом этнокультурных и региональных особенностей субъектов Российской Федерации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Размещение отчета на официальном сайте Управлени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81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Сохранение и развитие культуры межнациональных (межэтнических) отношений, защита исторической правды и исторической памяти, традиционных российских духовно-нравственных и культурно-исторических ценностей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3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Содействие проведению торжественных мероприятий, приуроченных к праздничным и памятным датам в истории народов России, в том числе посвященных: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Дню воссоединения Крыма с Россией – 18 марта;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Дню Победы советского народа в Великой Отечественной войне 1941 – 1945 годов – 9 мая;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Дню памяти и скорби – 22 июня; Международному дню коренных народов мира – 9 августа;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Дню Государственного флага Российской Федерации – 22 августа;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Дню народного единства – 4 ноября;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Дню Конституции – 12 декабря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Северск, Управление культуры Администрации ЗАТО Северск, Управление образования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Утверждение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идей патриотизма, служения Отечеству и ответственности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за его судьбу, исторического гражданского единства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 дружбы народов, межнационального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(межэтнического) согласия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65" w:right="467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Количество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участников мероприятий не менее 1000 человек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55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Организация и проведение мероприятий в рамках Международной просветительской акции «Большой этнографический диктант»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Северск, Управление культуры Администрации ЗАТО Северск, Управление образования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Утверждение идей патриотизма, служения Отечеству и ответственности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за его судьбу, историч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еского гражданского единства и дружбы народов, межнационального (межэтнического) согласия; развитие единого культурного пространства страны, совершенствование механизмов межрегионального сотрудничества в сфере культурного и  межнационального взаимодействия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65" w:right="439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Факт организации и проведения мероприятий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83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II. Сохранение и поддержка этнокультурного и языкового многообразия Российской Федерации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5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Этнокультурное и духовное развитие народов Российской Федерации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98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Организация и проведение мероприятий, приуроченных к праздничным и памятным датам в истории народов России, в том числе посвященных: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Международному дню родного языка – 21 февраля;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Дню языков народов Российской Федерации – 8 сентября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Северск, Управление культуры Администрации ЗАТО Северск, Управление образования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Создание оптимальных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условий для использования, сохранения и развития языков народов Российской Федерации, обеспечение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прав российских граждан на изучение родного языка и других языков народов Российской Федерации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65" w:right="467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Количество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участников мероприятий не менее 20 человек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342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центров этнокультурного и языкового образования на базе образовательных организаций с этнокультурным компонентом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2027 год, 2028 год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оптимальных условий для использования, сохранения и развития языков народов Российской Федерации, обеспечение прав российских граждан на изучение родного языка и других языков народов Российской Федерации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центров этнокультурного и языкового образования – не менее 1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342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Поддержка развития народных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художественных промыслов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Сохранение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популяризация нематериального этнокультурного достояния Российской Федерации, народного художественного творчества, содействие возрождению, сохранению и развитию народных промыслов и ремесел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Количество проведенных мероприятий - не менее 1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342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Проведение мероприятий по поддержке этнокультурного развития народов Российской Федерации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Популяризация и распространение произведений литературы и искусства народов Российской Федерации, организация и поддержка проведения художественных выставок, фестивалей, конкурсов, гастролей творческих коллективов и других мероприятий в области культуры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Число участников – не менее 200 человек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78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Укрепление объединяющей роли русского народа как государствообразующего народа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92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Организация и проведение мероприятий в рамках Дня славянской письменности и культуры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Северск, Управление культуры Администрации ЗАТО Северск, Управление образования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Обеспечение благоприятных условий для сохранения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 развития культуры русского народа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65" w:right="413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Количество участников мероприятий</w:t>
            </w:r>
            <w:r>
              <w:rPr>
                <w:rFonts w:ascii="Times New Roman" w:hAnsi="Times New Roman" w:eastAsia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eastAsia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не</w:t>
            </w:r>
            <w:r>
              <w:rPr>
                <w:rFonts w:ascii="Times New Roman" w:hAnsi="Times New Roman" w:eastAsia="Times New Roman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менее 30 человек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310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Содействие ФАДН России в проведении международного фотоконкурса «Русская цивилизация»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Северск, Управление культуры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Обеспечение благоприятных условий для сохранения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 развития культуры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русского народа.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Количество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овостных публикаций</w:t>
            </w:r>
            <w:r>
              <w:rPr>
                <w:rFonts w:ascii="Times New Roman" w:hAnsi="Times New Roman" w:eastAsia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eastAsia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муниципалитете – не менее 2; количество участников –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менее 5 человек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310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Проведение фестиваля, направленного на популяризацию русской культуры, традиций и гостеприимства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Ежегодно, июнь-август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Обеспечение благоприят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ных условий для сохранения и развития культуры русского народа; проведение фестивалей, конкурсов, выставок, ярмарок, праздников, организация творческих лабораторий, форумов и иных мероприятий, направленных на сохранение и развитие культуры русского народа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Количество мероприятий – не менее 1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982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</w:rPr>
            </w:r>
            <w:r/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Организация и проведение просветительских мероприятий, направленных на укрепление позиций и продвижение русской культуры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Северск, Управление культуры Администрации ЗАТО Северск, Управление образования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yellow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Проведение мероприятий,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направленных на сохранение и развитие культуры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русского народа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65" w:right="104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Количество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мероприятий</w:t>
            </w:r>
            <w:r>
              <w:rPr>
                <w:rFonts w:ascii="Times New Roman" w:hAnsi="Times New Roman" w:eastAsia="Times New Roman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– не менее 1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09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Сохранение самобытной культуры, традиционного образа жизни и поддержка традиционной хозяйственной деятельности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коренных малочисленных народов Российской Федерации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6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Реализация мероприятий, посвященных Дню коренных малочисленных народов Российской Федерации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образования Администрации ЗАТО Северск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условий для участия коренных малочисленных народов Российской Федерации в решении вопросов, затрагивающих их права и интересы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мероприятий – не менее 5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41"/>
        </w:trPr>
        <w:tc>
          <w:tcPr>
            <w:gridSpan w:val="6"/>
            <w:tcW w:w="1454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  <w:outlineLvl w:val="1"/>
            </w:pPr>
            <w:r>
              <w:rPr>
                <w:rFonts w:ascii="Times New Roman" w:hAnsi="Times New Roman" w:eastAsia="Times New Roman"/>
                <w:sz w:val="24"/>
                <w:szCs w:val="24"/>
                <w:lang w:val="en-US" w:eastAsia="ru-RU"/>
              </w:rPr>
              <w:t xml:space="preserve">III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Обеспечение межнационального (межэтнического) и межрелигиозного согласия, 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  <w:outlineLvl w:val="1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противодействие экстремизму и возникновению конфликтов на национальной (этнической) и (или) религиозной почве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9"/>
        </w:trPr>
        <w:tc>
          <w:tcPr>
            <w:gridSpan w:val="6"/>
            <w:tcW w:w="1454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outlineLvl w:val="1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Профилактика и предупреждение конфликтов на национальной (этнической) и (или) религиозной почве,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  <w:outlineLvl w:val="1"/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равноправия граждан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6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Осуществление мониторинга обращений граждан в Администрацию ЗАТО Северск о фактах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нарушения принципа равенства граждан независимо от расы, национальности, языка, отношения к религии, убеждений, принадлежности к общественным объединениям, а также других обстоятельств, в том числе при приеме на работу и при формировании кадрового резерва 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Отдел по работе с обращениями граждан Администрации ЗАТО Северск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Обеспечение равноправия граждан и реализация их конституционных прав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обращений в Администрацию ЗАТО Северск (ед.); наличие (отсутствие) фактов нарушения принципа равенства граждан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6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18.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Мониторинг информационного пространства для своевременного выявления конфликтов на национальной (этнической) и (или) религиозной почве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Постоянно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Отдел информационной политики Администрации ЗАТО Северск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Повышение эффективности межведомственного взаимодействия по вопросам реагирования на угрозы межнациональных (межэтнических) и межрелигиозных отношений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выявленных фактов (ед.)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76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19.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Направление в правоохранительные органы информации о выявленных фактах нарушения принципа равенства граждан, конфликтов на национальной (этнической) и (или) религиозной почве для принятия мер реагирования в соответствии с компетенцией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7 дней со дня поступления информации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Управление ЧС Администрации ЗАТО Северск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Повышение эффективности межведомственного взаимодействия по вопросам реагирования на угрозы межнациональных (межэтнических) и межрелигиозных отношений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направленных информаций (ед.)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57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20.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Информирование Мэра ЗАТО Северск о выявленных на территории ЗАТО Северск местах компактного проживания иностранных граждан, фактах возможно незаконного пребывания иностранных граждан и (или) незаконного использования работодателями иностранной рабочей силы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ind w:right="-10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Не позднее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ind w:right="-10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 суток с момента выявления факта, поступления обращения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ind w:right="-10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УВГТ Администрации ЗАТО Северск,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ind w:right="-10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Отдел по работе с обращениями граждан Администрации ЗАТО Северск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Повышение эффективности межведомственного взаимодействия по вопросам реагирования на угрозы межнациональных (межэтнических) и межрелигиозных отношений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направленных информаций (ед.)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3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21.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Информирование федеральных органов исполнительной власти, уполномоченных на осуществление контроля за трудовой деятельностью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иностранных работников на территории Российской Федерации, о выявленных местах компактного проживания иностранных граждан, фактах возможно незаконного пребывания иностранных граждан и (или) незаконного использования работодателями иностранной рабочей силы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ind w:right="-10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Не позднее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 суток с момента поступления информации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Управление ЧС Администрации ЗАТО Северск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Повышение эффективности межведомственного взаимодействия по вопросам реагирования на угрозы межнациональных (межэтнических) и межрелигиозных отношений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направленных информаций (ед.)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50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22.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Доведение иностранным гражданам, прибывающим для временного проживания и осуществления трудовой деятельности на территории ЗАТО Северск: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- норм законодательства Российской Федерации, устанавливающих ответственность за участие и содействие те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tabs>
                <w:tab w:val="left" w:pos="0" w:leader="none"/>
              </w:tabs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- информации о традиционных российских духовно-нравственных ценностях и нормах поведения в обществе, в том числе в регионах, в которых коренное население не исповедует ислам;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- информации о способах сообщения органам власти, уполномоченным рассматривать сообщения о преступлениях, сведений об известных фактах подготовки либо совершения преступлений террористической и экстремистской направленности и лицах, к ним причастных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ind w:right="-10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Не позднее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ind w:right="-10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30 суток со дня поступления сообщения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Управление ЧС Администрации ЗАТО Северск (с привлечением УМВД России по ЗАТО г.Северск Томской области, работодателей, представителей религиозных и общественных организаций)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Предупреждение вовлечения лиц в экстремистскую деятельность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Количество лиц, охваченных профилактическими мероприятиями (чел.)</w:t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Liberation Sans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52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механизмов содействия адаптации иностранных граждан к условиям жизни в российском обществе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183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Реализации мероприятий в сфере социальной и культурной адаптации и интеграции иностранных граждан, в том числе иностранных студентов и их интеграции в российское общество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Управление образования Администрации ЗАТО Северск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Создание для адаптации в Российской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Федерации иностранных граждан, в том числе их несовершеннолетних детей, условий, способствующих успешному освоению ими русского языка, усвоению ими общепризнанных в российском обществе норм поведения (правил общежития, отправления религиозных обрядов) с 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четом социальных, исторических и национально-культурных особенностей субъектов Российской Федерации, формированию у них присущих российскому обществу правосознания и правовой культуры, приобщению их к традиционным российским духовно-нравственным ценностям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мероприятий – не менее 10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8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Обеспечение участия институтов гражданского общества в реализации государственной национальной политики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55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Оказание поддержки деятельности Регионального отделения общероссийской общественно-государственной организации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Ассамблея народов России» Томской области и Томского регионального отделения общероссийского общественного движения «Молодежная Ассамблея народов России «Мы Россияне»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Постоянно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Поддержка деятельности общероссийской общественно-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государственной организации «Ассамблея народов России»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 ее региональных отделений в субъектах Российской Федерации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Факт оказания содействия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32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IV. Совершенствование государственного управления и информационное сопровождение государственной национальной политики, продвижение на международной арене ее объективных достижений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699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Совершенствование государственного управления и обеспечение социально-экономических условий для реализации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государственной национальной политики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967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Участие в обучающих семинарах по вопросам реализации государственной национальной политики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Обеспечение условий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для профессионального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развития государственных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 муниципальных служащих на основе типовых дополнительных профессиональных программ в сфере государственной национальной политики и межкультурной коммуникации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65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Факт</w:t>
            </w:r>
            <w:r>
              <w:rPr>
                <w:rFonts w:ascii="Times New Roman" w:hAnsi="Times New Roman" w:eastAsia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участия</w:t>
            </w:r>
            <w:r>
              <w:rPr>
                <w:rFonts w:ascii="Times New Roman" w:hAnsi="Times New Roman" w:eastAsia="Times New Roman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eastAsia="Times New Roman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обучающих </w:t>
            </w:r>
            <w:r>
              <w:rPr>
                <w:rFonts w:ascii="Times New Roman" w:hAnsi="Times New Roman" w:eastAsia="Times New Roman"/>
                <w:spacing w:val="-2"/>
                <w:sz w:val="24"/>
                <w:szCs w:val="24"/>
              </w:rPr>
              <w:t xml:space="preserve">семинарах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83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Участие во Всероссийском форуме молодых специалистов, государственных и муниципальных служащих, лидеров молодежных общественных объединений в сфере реализации государственной национальной политики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Ежегодно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УМСП ФКиС Администрации ЗАТО Северск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Обеспечение условий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для профессионального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развития государственных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и муниципальных служащих на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основе типовых дополнительных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профессиональных программ в сфере государственной национальной политики и межкультурной коммуникации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ind w:left="65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Факт</w:t>
            </w:r>
            <w:r>
              <w:rPr>
                <w:rFonts w:ascii="Times New Roman" w:hAnsi="Times New Roman" w:eastAsia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участия</w:t>
            </w:r>
            <w:r>
              <w:rPr>
                <w:rFonts w:ascii="Times New Roman" w:hAnsi="Times New Roman" w:eastAsia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eastAsia="Times New Roman"/>
                <w:spacing w:val="-2"/>
                <w:sz w:val="24"/>
                <w:szCs w:val="24"/>
              </w:rPr>
              <w:t xml:space="preserve"> форуме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48"/>
        </w:trPr>
        <w:tc>
          <w:tcPr>
            <w:gridSpan w:val="6"/>
            <w:tcW w:w="1454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Информационное обеспечение реализации государственной национальной политики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974"/>
        </w:trPr>
        <w:tc>
          <w:tcPr>
            <w:tcW w:w="78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979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Размещение в общедоступном информационном ресурсе контента, посвященного реализации государственной национальной политики («национальнаяполитика.рф»)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Ежегодно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402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Подготовка и размещение в средствах массовой информации и в информационно-телекоммуникационных сетях, включая сеть «Интернет», социальной рекламы, направленной на реализацию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государственной национальной полит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ики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3116" w:type="dxa"/>
            <w:vAlign w:val="top"/>
            <w:textDirection w:val="lrTb"/>
            <w:noWrap w:val="false"/>
          </w:tcPr>
          <w:p>
            <w:pPr>
              <w:pStyle w:val="878"/>
              <w:spacing w:after="0" w:line="240" w:lineRule="auto"/>
              <w:widowControl w:val="off"/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Количество размещенного контента – не менее 1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</w:r>
          </w:p>
        </w:tc>
      </w:tr>
    </w:tbl>
    <w:p>
      <w:r/>
      <w:r/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567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spacing w:after="0" w:line="14" w:lineRule="auto"/>
      <w:widowControl w:val="off"/>
      <w:rPr>
        <w:rFonts w:ascii="Times New Roman" w:hAnsi="Times New Roman" w:eastAsia="Times New Roman"/>
        <w:sz w:val="20"/>
        <w:szCs w:val="26"/>
      </w:rPr>
    </w:pPr>
    <w:r>
      <w:rPr>
        <w:rFonts w:ascii="Times New Roman" w:hAnsi="Times New Roman" w:eastAsia="Times New Roman"/>
        <w:sz w:val="20"/>
        <w:szCs w:val="26"/>
      </w:rPr>
    </w:r>
    <w:r>
      <w:rPr>
        <w:rFonts w:ascii="Times New Roman" w:hAnsi="Times New Roman" w:eastAsia="Times New Roman"/>
        <w:sz w:val="20"/>
        <w:szCs w:val="26"/>
      </w:rPr>
    </w:r>
    <w:r>
      <w:rPr>
        <w:rFonts w:ascii="Times New Roman" w:hAnsi="Times New Roman" w:eastAsia="Times New Roman"/>
        <w:sz w:val="20"/>
        <w:szCs w:val="26"/>
      </w:rPr>
    </w:r>
  </w:p>
  <w:p>
    <w:pPr>
      <w:pStyle w:val="878"/>
      <w:spacing w:after="0" w:line="240" w:lineRule="auto"/>
      <w:widowControl w:val="off"/>
      <w:tabs>
        <w:tab w:val="center" w:pos="4677" w:leader="none"/>
        <w:tab w:val="right" w:pos="9355" w:leader="none"/>
      </w:tabs>
      <w:rPr>
        <w:rFonts w:ascii="Times New Roman" w:hAnsi="Times New Roman" w:eastAsia="Times New Roman"/>
        <w:sz w:val="20"/>
        <w:szCs w:val="20"/>
      </w:rPr>
    </w:pPr>
    <w:r>
      <w:rPr>
        <w:rFonts w:ascii="Times New Roman" w:hAnsi="Times New Roman" w:eastAsia="Times New Roman"/>
        <w:sz w:val="20"/>
        <w:szCs w:val="20"/>
      </w:rPr>
      <w:t xml:space="preserve">Внутренний номер: 0382713</w:t>
    </w:r>
    <w:r>
      <w:rPr>
        <w:rFonts w:ascii="Times New Roman" w:hAnsi="Times New Roman" w:eastAsia="Times New Roman"/>
        <w:sz w:val="20"/>
        <w:szCs w:val="20"/>
      </w:rPr>
    </w:r>
    <w:r>
      <w:rPr>
        <w:rFonts w:ascii="Times New Roman" w:hAnsi="Times New Roman" w:eastAsia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spacing w:after="0" w:line="240" w:lineRule="auto"/>
      <w:widowControl w:val="off"/>
      <w:tabs>
        <w:tab w:val="center" w:pos="4677" w:leader="none"/>
        <w:tab w:val="right" w:pos="9355" w:leader="none"/>
      </w:tabs>
      <w:rPr>
        <w:rFonts w:ascii="Times New Roman" w:hAnsi="Times New Roman" w:eastAsia="Times New Roman"/>
        <w:sz w:val="12"/>
        <w:szCs w:val="18"/>
      </w:rPr>
    </w:pPr>
    <w:r>
      <w:rPr>
        <w:rFonts w:ascii="Times New Roman" w:hAnsi="Times New Roman" w:eastAsia="Times New Roman"/>
        <w:sz w:val="20"/>
        <w:szCs w:val="20"/>
      </w:rPr>
      <w:t xml:space="preserve">Внутренний номер: 0382713</w:t>
    </w:r>
    <w:r>
      <w:rPr>
        <w:rFonts w:ascii="Times New Roman" w:hAnsi="Times New Roman" w:eastAsia="Times New Roman"/>
        <w:sz w:val="12"/>
        <w:szCs w:val="18"/>
      </w:rPr>
    </w:r>
    <w:r>
      <w:rPr>
        <w:rFonts w:ascii="Times New Roman" w:hAnsi="Times New Roman" w:eastAsia="Times New Roman"/>
        <w:sz w:val="12"/>
        <w:szCs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3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2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8"/>
    <w:next w:val="878"/>
    <w:link w:val="70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1">
    <w:name w:val="Heading 1 Char"/>
    <w:link w:val="70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2">
    <w:name w:val="Heading 2"/>
    <w:basedOn w:val="878"/>
    <w:next w:val="878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3">
    <w:name w:val="Heading 2 Char"/>
    <w:link w:val="702"/>
    <w:uiPriority w:val="9"/>
    <w:rPr>
      <w:rFonts w:ascii="Liberation Sans" w:hAnsi="Liberation Sans" w:eastAsia="Liberation Sans" w:cs="Liberation Sans"/>
      <w:sz w:val="34"/>
    </w:rPr>
  </w:style>
  <w:style w:type="paragraph" w:styleId="704">
    <w:name w:val="Heading 3"/>
    <w:basedOn w:val="878"/>
    <w:next w:val="878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05">
    <w:name w:val="Heading 3 Char"/>
    <w:link w:val="70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06">
    <w:name w:val="Heading 4"/>
    <w:basedOn w:val="878"/>
    <w:next w:val="878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7">
    <w:name w:val="Heading 4 Char"/>
    <w:link w:val="70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08">
    <w:name w:val="Heading 5"/>
    <w:basedOn w:val="878"/>
    <w:next w:val="878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9">
    <w:name w:val="Heading 5 Char"/>
    <w:link w:val="70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0">
    <w:name w:val="Heading 6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1">
    <w:name w:val="Heading 6 Char"/>
    <w:link w:val="71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2">
    <w:name w:val="Heading 7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3">
    <w:name w:val="Heading 7 Char"/>
    <w:link w:val="71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4">
    <w:name w:val="Heading 8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5">
    <w:name w:val="Heading 8 Char"/>
    <w:link w:val="71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16">
    <w:name w:val="Heading 9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7">
    <w:name w:val="Heading 9 Char"/>
    <w:link w:val="71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8">
    <w:name w:val="List Paragraph"/>
    <w:basedOn w:val="878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before="0" w:after="0" w:line="240" w:lineRule="auto"/>
    </w:pPr>
  </w:style>
  <w:style w:type="paragraph" w:styleId="720">
    <w:name w:val="Title"/>
    <w:basedOn w:val="878"/>
    <w:next w:val="878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link w:val="720"/>
    <w:uiPriority w:val="10"/>
    <w:rPr>
      <w:sz w:val="48"/>
      <w:szCs w:val="48"/>
    </w:rPr>
  </w:style>
  <w:style w:type="paragraph" w:styleId="722">
    <w:name w:val="Subtitle"/>
    <w:basedOn w:val="878"/>
    <w:next w:val="878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link w:val="722"/>
    <w:uiPriority w:val="11"/>
    <w:rPr>
      <w:sz w:val="24"/>
      <w:szCs w:val="24"/>
    </w:rPr>
  </w:style>
  <w:style w:type="paragraph" w:styleId="724">
    <w:name w:val="Quote"/>
    <w:basedOn w:val="878"/>
    <w:next w:val="878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8"/>
    <w:next w:val="878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paragraph" w:styleId="728">
    <w:name w:val="Header"/>
    <w:basedOn w:val="878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Header Char"/>
    <w:link w:val="728"/>
    <w:uiPriority w:val="99"/>
  </w:style>
  <w:style w:type="paragraph" w:styleId="730">
    <w:name w:val="Footer"/>
    <w:basedOn w:val="87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Footer Char"/>
    <w:link w:val="730"/>
    <w:uiPriority w:val="99"/>
  </w:style>
  <w:style w:type="paragraph" w:styleId="732">
    <w:name w:val="Caption"/>
    <w:basedOn w:val="878"/>
    <w:next w:val="878"/>
    <w:link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link w:val="732"/>
    <w:uiPriority w:val="35"/>
    <w:rPr>
      <w:b/>
      <w:bCs/>
      <w:color w:val="4f81bd" w:themeColor="accent1"/>
      <w:sz w:val="18"/>
      <w:szCs w:val="18"/>
    </w:rPr>
  </w:style>
  <w:style w:type="table" w:styleId="73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7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7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7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1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3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3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3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3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3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3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000ff" w:themeColor="hyperlink"/>
      <w:u w:val="single"/>
    </w:r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next w:val="878"/>
    <w:link w:val="878"/>
    <w:qFormat/>
    <w:pPr>
      <w:spacing w:after="160" w:line="259" w:lineRule="auto"/>
    </w:pPr>
    <w:rPr>
      <w:sz w:val="22"/>
      <w:szCs w:val="22"/>
      <w:lang w:val="ru-RU" w:eastAsia="en-US" w:bidi="ar-SA"/>
    </w:rPr>
  </w:style>
  <w:style w:type="character" w:styleId="879">
    <w:name w:val="Основной шрифт абзаца"/>
    <w:next w:val="879"/>
    <w:link w:val="878"/>
    <w:uiPriority w:val="1"/>
    <w:semiHidden/>
    <w:unhideWhenUsed/>
  </w:style>
  <w:style w:type="table" w:styleId="880">
    <w:name w:val="Обычная таблица"/>
    <w:next w:val="880"/>
    <w:link w:val="878"/>
    <w:uiPriority w:val="99"/>
    <w:semiHidden/>
    <w:unhideWhenUsed/>
    <w:tblPr/>
  </w:style>
  <w:style w:type="numbering" w:styleId="881">
    <w:name w:val="Нет списка"/>
    <w:next w:val="881"/>
    <w:link w:val="878"/>
    <w:uiPriority w:val="99"/>
    <w:semiHidden/>
    <w:unhideWhenUsed/>
  </w:style>
  <w:style w:type="table" w:styleId="882">
    <w:name w:val="Table Normal"/>
    <w:next w:val="882"/>
    <w:link w:val="878"/>
    <w:uiPriority w:val="2"/>
    <w:semiHidden/>
    <w:unhideWhenUsed/>
    <w:qFormat/>
    <w:pPr>
      <w:widowControl w:val="off"/>
    </w:pPr>
    <w:rPr>
      <w:sz w:val="22"/>
      <w:szCs w:val="22"/>
      <w:lang w:val="en-US" w:eastAsia="en-US" w:bidi="ar-SA"/>
    </w:rPr>
    <w:tblPr/>
  </w:style>
  <w:style w:type="paragraph" w:styleId="883">
    <w:name w:val="Верхний колонтитул"/>
    <w:basedOn w:val="878"/>
    <w:next w:val="883"/>
    <w:link w:val="88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4">
    <w:name w:val="Верхний колонтитул Знак"/>
    <w:next w:val="884"/>
    <w:link w:val="883"/>
    <w:uiPriority w:val="99"/>
    <w:rPr>
      <w:sz w:val="22"/>
      <w:szCs w:val="22"/>
      <w:lang w:eastAsia="en-US"/>
    </w:rPr>
  </w:style>
  <w:style w:type="paragraph" w:styleId="885">
    <w:name w:val="Нижний колонтитул"/>
    <w:basedOn w:val="878"/>
    <w:next w:val="885"/>
    <w:link w:val="88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86">
    <w:name w:val="Нижний колонтитул Знак"/>
    <w:next w:val="886"/>
    <w:link w:val="885"/>
    <w:uiPriority w:val="99"/>
    <w:rPr>
      <w:sz w:val="22"/>
      <w:szCs w:val="22"/>
      <w:lang w:eastAsia="en-US"/>
    </w:rPr>
  </w:style>
  <w:style w:type="character" w:styleId="887" w:default="1">
    <w:name w:val="Default Paragraph Font"/>
    <w:uiPriority w:val="1"/>
    <w:semiHidden/>
    <w:unhideWhenUsed/>
  </w:style>
  <w:style w:type="numbering" w:styleId="888" w:default="1">
    <w:name w:val="No List"/>
    <w:uiPriority w:val="99"/>
    <w:semiHidden/>
    <w:unhideWhenUsed/>
  </w:style>
  <w:style w:type="table" w:styleId="88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itmc278</dc:creator>
  <cp:lastModifiedBy>Trofimova</cp:lastModifiedBy>
  <cp:revision>7</cp:revision>
  <dcterms:created xsi:type="dcterms:W3CDTF">2026-08-26T05:00:00Z</dcterms:created>
  <dcterms:modified xsi:type="dcterms:W3CDTF">2026-09-03T05:13:27Z</dcterms:modified>
  <cp:version>1048576</cp:version>
</cp:coreProperties>
</file>