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1"/>
        <w:ind w:left="6096"/>
        <w:jc w:val="both"/>
        <w:spacing w:before="120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УТВЕРЖДЕНО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941"/>
        <w:ind w:left="6096"/>
        <w:jc w:val="both"/>
        <w:spacing w:line="144" w:lineRule="auto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941"/>
        <w:ind w:left="6096"/>
        <w:jc w:val="both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2856230</wp:posOffset>
                </wp:positionH>
                <wp:positionV relativeFrom="paragraph">
                  <wp:posOffset>-632460</wp:posOffset>
                </wp:positionV>
                <wp:extent cx="457200" cy="342900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251657216;o:allowoverlap:true;o:allowincell:true;mso-position-horizontal-relative:text;margin-left:224.90pt;mso-position-horizontal:absolute;mso-position-vertical-relative:text;margin-top:-49.80pt;mso-position-vertical:absolute;width:36.00pt;height:27.00pt;mso-wrap-distance-left:9.00pt;mso-wrap-distance-top:0.00pt;mso-wrap-distance-right:9.00pt;mso-wrap-distance-bottom:0.00pt;visibility:visible;" fillcolor="#FFFFFF" stroked="f"/>
            </w:pict>
          </mc:Fallback>
        </mc:AlternateConten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распоряжением               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941"/>
        <w:ind w:left="6096"/>
        <w:jc w:val="both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941"/>
        <w:ind w:left="142" w:firstLine="5976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от _30.09.2026_№ _864-ра_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941"/>
        <w:jc w:val="center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1"/>
        <w:jc w:val="center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1"/>
        <w:jc w:val="center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941"/>
        <w:jc w:val="center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ТЕХНИЧЕСКОЕ ЗАДАНИЕ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на корректировку инвестиционной программы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кционерного общества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«Северский водоканал»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(ИНН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7024024853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 в сфере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водоснабжения и водоотведения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на 2024 - 2028 годы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I. ОБЩИЕ ПОЛОЖЕНИЯ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spacing w:before="120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1. Настоящее техническое задание на корректировку инвестиционной программы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кционерного общества «Северский водоканал»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(ИНН 7024024853) в сфере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водоснабжения и водоотведения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 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2024 -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028 годы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утв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ержденной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приказом Департ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амента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тариф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ного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рег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улирования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Том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ой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обл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асти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от 30.10.2023 №4-586/9(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111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(далее – инвестиционная программа)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разработано на основании: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1) Градостроительного кодекса Российской Федерации;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Федерального закона от 7 декабря 2011 года № 416-ФЗ «О водоснабжении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и водоотведении»;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3) Федерального закона от 23 ноября 2009 года № 261-ФЗ «Об энергосбережении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и о повышении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энергетической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эффективности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и о внесении изменений в отдельные законодательные акты Российской Федерации»;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4) Правил разработки, согласования, утверждения и корректировки инвестиционных программ организаций, осуществляющих горячее водоснабжение, холодно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е водоснабжение и (или) водоотведение, утвержденных постановлением Правительства Российской Федерации от 29 июля 2013 г. № 641 «Об инвестиционных и производственных программах организаций, осуществляющих деятельность в сфере водоснабжения и водоотведения»;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5)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приказа Министерства строительства и жилищно-коммунального хозяйства Российской Федерации от 4 апреля 2014 г. № 162/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«Об утверждении Перечня показателей надежности, качества, энергетической эффективности объектов централизованных систем горячего водоснабжения, холодного водоснабжения и (или) водоотведения, порядка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и правил определения плановых значений и фактических значений таких показателей»;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</w:p>
    <w:p>
      <w:pPr>
        <w:ind w:right="34" w:firstLine="720"/>
        <w:jc w:val="both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6)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приказа Министерства строительства и жилищно-коммунального хозяйства Российской Федерации от 28 августа 2026 г. № 571/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«Об утверждении формы инвестиционной программы орга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низации, осуществляющей горячее водоснабжение, холодное водоснабжение и (или) водоотведение с использованием централизованных систем (за исключением организации, осуществляющей горячее водоснабжение с использованием открытых систем горячего водоснабжения»;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7)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cs="Times New Roman CYR"/>
          <w:sz w:val="24"/>
          <w:szCs w:val="24"/>
        </w:rPr>
        <w:t xml:space="preserve">п</w:t>
      </w:r>
      <w:r>
        <w:rPr>
          <w:rFonts w:ascii="PT Astra Serif" w:hAnsi="PT Astra Serif"/>
          <w:sz w:val="24"/>
          <w:szCs w:val="24"/>
        </w:rPr>
        <w:t xml:space="preserve">рограммы комплексного развития систем коммунальной инфраструктуры </w:t>
      </w:r>
      <w:r>
        <w:rPr>
          <w:rFonts w:ascii="PT Astra Serif" w:hAnsi="PT Astra Serif"/>
          <w:sz w:val="24"/>
          <w:szCs w:val="24"/>
        </w:rPr>
        <w:br/>
        <w:t xml:space="preserve">ЗАТО Северск на 2013 год и на перспективу до 2035 года, утвержденной решением Думы ЗАТО Северск от 20.12.2012 № 32/2 «Об утверждении программы </w:t>
      </w:r>
      <w:r>
        <w:rPr>
          <w:rFonts w:ascii="PT Astra Serif" w:hAnsi="PT Astra Serif"/>
          <w:spacing w:val="-4"/>
          <w:sz w:val="24"/>
          <w:szCs w:val="24"/>
        </w:rPr>
        <w:t xml:space="preserve">«</w:t>
      </w:r>
      <w:r>
        <w:rPr>
          <w:rFonts w:ascii="PT Astra Serif" w:hAnsi="PT Astra Serif"/>
          <w:sz w:val="24"/>
          <w:szCs w:val="24"/>
        </w:rPr>
        <w:t xml:space="preserve">Комплексное развитие систем коммунальной инфраструктуры ЗАТО Северск» на 2013 год и на перспективу</w:t>
      </w:r>
      <w:r>
        <w:rPr>
          <w:rFonts w:ascii="PT Astra Serif" w:hAnsi="PT Astra Serif"/>
          <w:sz w:val="24"/>
          <w:szCs w:val="24"/>
        </w:rPr>
        <w:br/>
        <w:t xml:space="preserve">до 2035 года», действовавшей до 06.02.202</w:t>
      </w:r>
      <w:r>
        <w:rPr>
          <w:rFonts w:ascii="PT Astra Serif" w:hAnsi="PT Astra Serif"/>
          <w:sz w:val="24"/>
          <w:szCs w:val="24"/>
        </w:rPr>
        <w:t xml:space="preserve">5</w:t>
      </w:r>
      <w:r>
        <w:rPr>
          <w:rFonts w:ascii="PT Astra Serif" w:hAnsi="PT Astra Serif"/>
          <w:sz w:val="24"/>
          <w:szCs w:val="24"/>
        </w:rPr>
        <w:t xml:space="preserve">; 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программы комплексного развития систем коммунальной инфраструктуры ЗАТО Северск на 2025 год и на перспективу до 2045 года, утвержденной решением Думы ЗАТО Северск от 06.02.2025 № 55/1 «Об утверждении программы </w:t>
      </w:r>
      <w:r>
        <w:rPr>
          <w:rFonts w:ascii="PT Astra Serif" w:hAnsi="PT Astra Serif" w:eastAsia="PT Astra Serif" w:cs="PT Astra Serif"/>
          <w:color w:val="000000" w:themeColor="text1"/>
          <w:spacing w:val="-4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омплексного развития систем коммунальной инфраструктуры ЗАТО Северск на 2025 год и на перспективу до 2045 года» (далее – программа комплексного развития систем коммунальной инфраструктуры ЗАТО Северск);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9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Схемы водоснабжения и водоотведения ЗАТО Северск Томской области до 2045 года (актуализация на 2025 год), утвержденной постановлением Администрации ЗАТО Северск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от 19.11.2024 № 4202-па «Об утверждении Схемы водоснабжения и водоотведения ЗАТО Северск Томской области до 2045 года (актуализация на 2025 год)»;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10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 Генерального пл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ана городского округа ЗАТО Северск Томской области, утвержденного решением Думы ЗАТО Северск от 31.08.2023 № 38/5 «Об утверждении Генерального плана городского округа ЗАТО Северск Томской области» (далее – Генеральный план городского округа ЗАТО Северск);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11) приказа Департамента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тарифного регулирования Томской области от 30.10.2023           №4-586/9(111) «Об утверждении инвестиционной программы акционерного общества «Северский водоканал» (ИНН 7024024853) в сфере водоснабжения и водоотведения на 2024-2028 годы»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 приказа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Департамента тарифного рег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улирования Томской области от 19.12.2025            № 4-210/9(580) «О корректировке тарифов организации Акционерное общество «Северский водоканал» (ИНН 7024024853) на 2026 год и внесении изменений в приказ от 19.12.2023                     № 4-292/9(502)»;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13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 приказа Департамента тарифн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ого регулирования Томской области от 19.12.2025           № 5-211/9(581) «О корректировке тарифов организации Акционерное общество «Северский водоканал» (ИНН 7024024853) на 2026 год и внесении изменений в приказ от 19.12.2023               № 5-291/9(503)».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2. Проект корректировки инвестиционной программы должен содержать: предложения о включении в инвестиционную программу новых мероприятий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c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периодом реализации до 2033 года, переносе сроков реализации мероприятий и изменении стоимости их реализации, а также материалы и документы, обосновывающие необходимость корректировки инвестиционной программы.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34"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II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ЦЕЛИ И ЗАДАЧИ РАЗРАБОТКИ И РЕАЛИЗАЦИИ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ИНВЕСТИЦИОННОЙ ПРОГРАММЫ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spacing w:before="120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3. Основная цель реализации инвестиционной программы – обеспечение надежности, качества и эффективности работы коммунального комплекса в соответствии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с планируемыми потребностями развития ЗАТО Северск.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Цель разработки инвестиционной программы – реализация программы комплексного развития систем коммунальной инфраструктуры ЗАТО Северск.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4. Реализация инвестиционной программы должна обеспечить: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1) повышение надежности и энергетической эффективности работы централизованных систем холодного водоснабжения и водоотведения, улучшение качества предоставления услуг водоснабжения и водоотведения на территории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г.Северска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2) создание технической возможности для подключения строящихся (реконструируемых) объектов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капитального строительства с подключаемой нагрузкой 38,4 куб. м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 час в соответствии с Генеральным планом городского округа ЗАТО Северс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 системам водоснабжения и водоотведения, эксплуатируемым Акционерным обществом «Северский водоканал»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5. В ходе реализации инвестиционной программы должны быть решены следующие задачи: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1) подключение к централизованным системам водоснабжения и водоотведения объектов капитального строительства абонентов или территорий, на которых расположены такие объекты, представленных в таблице 1.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contextualSpacing/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</w:rPr>
        <w:t xml:space="preserve">Таблица 1</w:t>
      </w: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</w:r>
    </w:p>
    <w:tbl>
      <w:tblPr>
        <w:tblW w:w="1009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97"/>
        <w:gridCol w:w="709"/>
        <w:gridCol w:w="709"/>
        <w:gridCol w:w="708"/>
        <w:gridCol w:w="709"/>
        <w:gridCol w:w="567"/>
        <w:gridCol w:w="510"/>
        <w:gridCol w:w="510"/>
        <w:gridCol w:w="511"/>
        <w:gridCol w:w="510"/>
        <w:gridCol w:w="511"/>
        <w:gridCol w:w="1275"/>
      </w:tblGrid>
      <w:tr>
        <w:tblPrEx/>
        <w:trPr>
          <w:trHeight w:val="968"/>
        </w:trPr>
        <w:tc>
          <w:tcPr>
            <w:shd w:val="clear" w:color="auto" w:fill="auto"/>
            <w:tcBorders>
              <w:bottom w:val="none" w:color="000000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229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Наименование объекта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5954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Подключаемая нагрузка, куб. м/час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ind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Срок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ind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ввода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br/>
              <w:t xml:space="preserve">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эксплуа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ind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тацию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ind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год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cantSplit/>
          <w:trHeight w:val="927"/>
        </w:trPr>
        <w:tc>
          <w:tcPr>
            <w:shd w:val="clear" w:color="auto" w:fill="auto"/>
            <w:tcBorders>
              <w:bottom w:val="non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22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2024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70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2026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2027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67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2028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0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2029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0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2030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1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2031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0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2032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1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</w:p>
        </w:tc>
      </w:tr>
    </w:tbl>
    <w:p>
      <w:pPr>
        <w:contextualSpacing/>
        <w:spacing w:line="120" w:lineRule="auto"/>
        <w:rPr>
          <w:rFonts w:ascii="PT Astra Serif" w:hAnsi="PT Astra Serif" w:cs="PT Astra Serif"/>
          <w:sz w:val="8"/>
        </w:rPr>
      </w:pPr>
      <w:r>
        <w:rPr>
          <w:rFonts w:ascii="PT Astra Serif" w:hAnsi="PT Astra Serif" w:cs="PT Astra Serif"/>
          <w:sz w:val="8"/>
        </w:rPr>
      </w:r>
      <w:r>
        <w:rPr>
          <w:rFonts w:ascii="PT Astra Serif" w:hAnsi="PT Astra Serif" w:cs="PT Astra Serif"/>
          <w:sz w:val="8"/>
        </w:rPr>
      </w:r>
      <w:r>
        <w:rPr>
          <w:rFonts w:ascii="PT Astra Serif" w:hAnsi="PT Astra Serif" w:cs="PT Astra Serif"/>
          <w:sz w:val="8"/>
        </w:rPr>
      </w:r>
    </w:p>
    <w:tbl>
      <w:tblPr>
        <w:tblW w:w="1009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97"/>
        <w:gridCol w:w="709"/>
        <w:gridCol w:w="709"/>
        <w:gridCol w:w="708"/>
        <w:gridCol w:w="709"/>
        <w:gridCol w:w="567"/>
        <w:gridCol w:w="510"/>
        <w:gridCol w:w="510"/>
        <w:gridCol w:w="511"/>
        <w:gridCol w:w="510"/>
        <w:gridCol w:w="511"/>
        <w:gridCol w:w="1275"/>
      </w:tblGrid>
      <w:tr>
        <w:tblPrEx/>
        <w:trPr>
          <w:trHeight w:val="283"/>
          <w:tblHeader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7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9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768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17-этажного жилого дома (278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3,53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95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17-этажного жилого дома (469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5,96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258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10-этажного жилого дома (215 чел.) с встроенно-пристроенным магазином (9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2,82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262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4.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10-17-этажного жилого дома (396 чел.) с встроенно-пристроенным магазином (7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5,10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17-этажного жилого дома (704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8,95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6.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17-этажного жилого дома (674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8,56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7.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10-этажного жилого дома (215 чел.) с встроенно-пристроенным магазином (9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2,74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8.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10-17-этажного жилого дома (215 чел.) с офисным помещением (10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7,49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9.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17-этажного жилого дома (674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8,56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10.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17-этажного жилого дома (417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5,30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11.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17-этажного жилого дома (513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6,52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12.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17-этажного жилого дома (747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9,49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2027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13.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17-этажного жилого дома «Каскад» (218 чел.)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2,77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2027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14.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начальной школы (200 мест)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0,32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15.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ДДУ на 220 мест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2,31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16.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досугового центра на 100 мест в мкр.12а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17.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Строительство здания дошкольной образовательной организации на 90 мест по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ул.Солнечной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, 18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0,54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2027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18.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2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Подключение частного сектора (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мкр.Иглаково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ул.Сосновая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ул.Смолокурка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)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  <w:t xml:space="preserve">2024-2028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gridSpan w:val="2"/>
            <w:shd w:val="clear" w:color="auto" w:fill="auto"/>
            <w:tcW w:w="286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Итого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10,48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44,30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14,38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13,05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5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82,46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2) достижение плановых значений показателей надежности, качества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и энергетической эффективности объектов централизованных систем водоснабжения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и водоотведения, представленных в таблице 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spacing w:before="120"/>
        <w:tabs>
          <w:tab w:val="left" w:pos="540" w:leader="none"/>
          <w:tab w:val="right" w:pos="10206" w:leader="none"/>
        </w:tabs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ab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ab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Таблица 2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tbl>
      <w:tblPr>
        <w:tblW w:w="1010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43"/>
        <w:gridCol w:w="709"/>
        <w:gridCol w:w="633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10"/>
      </w:tblGrid>
      <w:tr>
        <w:tblPrEx/>
        <w:trPr>
          <w:trHeight w:val="418"/>
        </w:trPr>
        <w:tc>
          <w:tcPr>
            <w:shd w:val="clear" w:color="auto" w:fill="auto"/>
            <w:tcBorders>
              <w:bottom w:val="none" w:color="000000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24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Наименование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показателя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709" w:type="dxa"/>
            <w:vMerge w:val="restart"/>
            <w:textDirection w:val="btLr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Единица измерения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gridSpan w:val="11"/>
            <w:shd w:val="clear" w:color="auto" w:fill="auto"/>
            <w:tcW w:w="6385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Величина показателя по годам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cantSplit/>
          <w:gridAfter w:val="1"/>
          <w:trHeight w:val="1134"/>
        </w:trPr>
        <w:tc>
          <w:tcPr>
            <w:shd w:val="clear" w:color="auto" w:fill="auto"/>
            <w:tcBorders>
              <w:bottom w:val="non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24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709" w:type="dxa"/>
            <w:vMerge w:val="continue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633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2024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63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2025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63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2026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63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2027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63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2028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63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2029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63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2030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63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2031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63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2032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638" w:type="dxa"/>
            <w:vAlign w:val="center"/>
            <w:textDirection w:val="btLr"/>
            <w:noWrap w:val="false"/>
          </w:tcPr>
          <w:p>
            <w:pPr>
              <w:ind w:left="113" w:right="113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2033 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spacing w:line="120" w:lineRule="auto"/>
        <w:rPr>
          <w:rFonts w:ascii="PT Astra Serif" w:hAnsi="PT Astra Serif" w:cs="PT Astra Serif"/>
          <w:sz w:val="8"/>
        </w:rPr>
      </w:pPr>
      <w:r>
        <w:rPr>
          <w:rFonts w:ascii="PT Astra Serif" w:hAnsi="PT Astra Serif" w:cs="PT Astra Serif"/>
          <w:sz w:val="8"/>
        </w:rPr>
      </w:r>
      <w:r>
        <w:rPr>
          <w:rFonts w:ascii="PT Astra Serif" w:hAnsi="PT Astra Serif" w:cs="PT Astra Serif"/>
          <w:sz w:val="8"/>
        </w:rPr>
      </w:r>
      <w:r>
        <w:rPr>
          <w:rFonts w:ascii="PT Astra Serif" w:hAnsi="PT Astra Serif" w:cs="PT Astra Serif"/>
          <w:sz w:val="8"/>
        </w:rPr>
      </w:r>
    </w:p>
    <w:tbl>
      <w:tblPr>
        <w:tblW w:w="1009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43"/>
        <w:gridCol w:w="709"/>
        <w:gridCol w:w="633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</w:tblGrid>
      <w:tr>
        <w:tblPrEx/>
        <w:trPr>
          <w:trHeight w:val="283"/>
          <w:tblHeader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7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9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196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Показатели качества системы водоснабжения 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768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Доля проб питьевой воды, подаваемой с источников водоснабжения, водоп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%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95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1.2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%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258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Показатели надежности и бесперебойности системы водоснабжения 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cantSplit/>
          <w:trHeight w:val="7903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btLr"/>
            <w:noWrap w:val="false"/>
          </w:tcPr>
          <w:p>
            <w:pPr>
              <w:ind w:left="113"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ед./км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835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Показатели энергетической эффективности системы водоснабжения 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Доля потерь воды в централизованных системах водоснабжения при транспортировке в общем объеме воды, поданной в водопроводную сеть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%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24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07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24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06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24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05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24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04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24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03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23,08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23,07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23,06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23,05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3"/>
                <w:szCs w:val="23"/>
                <w:lang w:eastAsia="en-US"/>
              </w:rPr>
              <w:t xml:space="preserve">23,04</w:t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  <w:r>
              <w:rPr>
                <w:rFonts w:ascii="PT Astra Serif" w:hAnsi="PT Astra Serif" w:cs="PT Astra Serif"/>
                <w:color w:val="000000" w:themeColor="text1"/>
                <w:sz w:val="23"/>
                <w:szCs w:val="23"/>
              </w:rPr>
            </w:r>
          </w:p>
        </w:tc>
      </w:tr>
      <w:tr>
        <w:tblPrEx/>
        <w:trPr>
          <w:cantSplit/>
          <w:trHeight w:val="113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3.2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btLr"/>
            <w:noWrap w:val="false"/>
          </w:tcPr>
          <w:p>
            <w:pPr>
              <w:ind w:left="0" w:right="-108"/>
              <w:jc w:val="left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               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кВт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·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/м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vertAlign w:val="superscript"/>
                <w:lang w:eastAsia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                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vertAlign w:val="superscript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0,54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en-US"/>
              </w:rPr>
              <w:t xml:space="preserve">0,55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en-US"/>
              </w:rPr>
              <w:t xml:space="preserve">0,55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en-US"/>
              </w:rPr>
              <w:t xml:space="preserve">0,55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en-US"/>
              </w:rPr>
              <w:t xml:space="preserve">0,55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0,54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0,54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0,54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0,54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0,54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</w:tr>
      <w:tr>
        <w:tblPrEx/>
        <w:trPr>
          <w:cantSplit/>
          <w:trHeight w:val="3225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3.3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btLr"/>
            <w:noWrap w:val="false"/>
          </w:tcPr>
          <w:p>
            <w:pPr>
              <w:ind w:left="-117"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                                   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кВт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·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/м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vertAlign w:val="superscript"/>
                <w:lang w:eastAsia="en-US"/>
              </w:rPr>
              <w:t xml:space="preserve">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ind w:hanging="105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0,29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ind w:left="-1" w:hanging="250"/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 w:eastAsia="en-US"/>
              </w:rPr>
              <w:t xml:space="preserve">8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878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4.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Показатели качества системы водоотведения 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929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4.1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Доля сточных вод, не подвергающихся очистке, в общем объеме сточных вод, сбрасываемых в централизованные общесплавные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или бытовые системы водоотведения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%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128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Показатели надежности и бесперебойности системы водоотведения 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cantSplit/>
          <w:trHeight w:val="281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Удельное количество аварий и засоров в расчете на протяженность канализационной сети в год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btLr"/>
            <w:noWrap w:val="false"/>
          </w:tcPr>
          <w:p>
            <w:pPr>
              <w:ind w:left="-117"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                               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ед./км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2,45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2,45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2,45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5,66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5,66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5,66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5,66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5,66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5,66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5,66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98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6.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Показатели энергетической эффективности системы водоотведения 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cantSplit/>
          <w:trHeight w:val="113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6.1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Удельный расход электрической энергии, потребляемой в технологическом процессе очистки сточных вод, на единицу объема очищаемых сточных вод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btLr"/>
            <w:noWrap w:val="false"/>
          </w:tcPr>
          <w:p>
            <w:pPr>
              <w:ind w:left="-117" w:right="-108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                             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кВт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·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/м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vertAlign w:val="superscript"/>
                <w:lang w:eastAsia="en-US"/>
              </w:rPr>
              <w:t xml:space="preserve">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vertAlign w:val="superscript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0,02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cantSplit/>
          <w:trHeight w:val="113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6.2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btLr"/>
            <w:noWrap w:val="false"/>
          </w:tcPr>
          <w:p>
            <w:pPr>
              <w:ind w:left="-117" w:right="-108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                             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кВт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·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/м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vertAlign w:val="superscript"/>
                <w:lang w:eastAsia="en-US"/>
              </w:rPr>
              <w:t xml:space="preserve">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vertAlign w:val="superscript"/>
              </w:rPr>
            </w:r>
          </w:p>
        </w:tc>
        <w:tc>
          <w:tcPr>
            <w:shd w:val="clear" w:color="auto" w:fill="auto"/>
            <w:tcW w:w="633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0,20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3)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реализация с учетом корректировки мероприятий по строительству, модернизации и реконструкции объектов централизованных систем водоснабжения и водоотведения, представленных в таблице 3.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right"/>
        <w:spacing w:before="120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Таблица 3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tbl>
      <w:tblPr>
        <w:tblW w:w="10064" w:type="dxa"/>
        <w:tblInd w:w="137" w:type="dxa"/>
        <w:tblBorders>
          <w:top w:val="single" w:color="auto" w:sz="4" w:space="0"/>
          <w:left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213"/>
      </w:tblGrid>
      <w:tr>
        <w:tblPrEx/>
        <w:trPr>
          <w:trHeight w:val="172"/>
        </w:trPr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2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8"/>
        </w:rPr>
      </w:pPr>
      <w:r>
        <w:rPr>
          <w:rFonts w:ascii="PT Astra Serif" w:hAnsi="PT Astra Serif" w:cs="PT Astra Serif"/>
          <w:sz w:val="8"/>
        </w:rPr>
      </w:r>
      <w:r>
        <w:rPr>
          <w:rFonts w:ascii="PT Astra Serif" w:hAnsi="PT Astra Serif" w:cs="PT Astra Serif"/>
          <w:sz w:val="8"/>
        </w:rPr>
      </w:r>
      <w:r>
        <w:rPr>
          <w:rFonts w:ascii="PT Astra Serif" w:hAnsi="PT Astra Serif" w:cs="PT Astra Serif"/>
          <w:sz w:val="8"/>
        </w:rPr>
      </w:r>
    </w:p>
    <w:tbl>
      <w:tblPr>
        <w:tblW w:w="10064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213"/>
      </w:tblGrid>
      <w:tr>
        <w:tblPrEx/>
        <w:trPr>
          <w:trHeight w:val="172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5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6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I. Система водоснабжения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Строительство новых сетей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1.1.1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Строительство сетей водоснабжения 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мкр.Иглаково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 (в целях подключения новых абонентов)                                                                                                  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1.1.2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Строительство сетей водоснабжения 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г.Северске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 (в целях подключения новых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абонентов) 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                                                                                               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Реконструкция, модернизация, техническое перевооружение существующих сетей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2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1.2.1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Модернизация сетей водоснабжения 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мкр.Иглаково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 (с целью увеличения пропускной способности трубопроводов и подключения новых абонентов)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  <w:tr>
        <w:tblPrEx/>
        <w:trPr>
          <w:trHeight w:val="48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Реконструкция, модернизация, техническое перевооружение существующих объектов централизованных систем водоснабжения, за исключением сетей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8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Модернизация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-10"/>
                <w:sz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шкафов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-10"/>
                <w:sz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на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-10"/>
                <w:sz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ГДП в здании № 320                                   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8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Модернизация</w:t>
            </w:r>
            <w:r>
              <w:rPr>
                <w:rFonts w:ascii="PT Astra Serif" w:hAnsi="PT Astra Serif" w:eastAsia="PT Astra Serif" w:cs="PT Astra Serif"/>
                <w:spacing w:val="-10"/>
                <w:sz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объединенной системы автоматизированного управления (ОСАУ) технологическ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им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 оборудовани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ем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9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.3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Модернизация прои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зводственно-технологического процесса контроля за качеством и безопасностью питьевой воды в микробиологическом отделении химико-бактериологической лаборатории в здании очистной водопроводной станции водозабора № 2 по адресу: Томская область, ЗАТО Северск,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ул.Сосновая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, 22, строение 320 (инв. № 10102644)                                                       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blPrEx/>
        <w:trPr>
          <w:trHeight w:val="43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Модернизация скорых фильтров № 1-8 очистной водопроводной станции водозабора № 1                                                                                       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3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Модернизация скорых фильтров № 1-8 очистной водопроводной станции водозабора № 2                                                                                       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3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Модернизация системы обеззараживания готовой воды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очистной водопроводной станции водозабора № 1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очистной водопроводной станции водозабора № 2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                                                                                                                  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blPrEx/>
        <w:trPr>
          <w:trHeight w:val="33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Бурение скважин                                                                     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Создание, приобретение основных средств и нематериальных активов, необходимых для обеспечения функционирования, развития, повышения надежности и энергетической эффективности объектов ЦСВ 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.1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highlight w:val="white"/>
              </w:rPr>
              <w:t xml:space="preserve">Приобретение микроавтобуса Газель ГАЗ-32217 (2 шт.)               </w:t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.2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highlight w:val="white"/>
              </w:rPr>
              <w:t xml:space="preserve">Приобретение оборудования для химико-бактериологической лаборатории                                                                                                                 </w:t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1.4.3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highlight w:val="white"/>
              </w:rPr>
              <w:t xml:space="preserve">Приобретение экскаватора колесного и навесного оборудования (70</w:t>
            </w:r>
            <w:r>
              <w:rPr>
                <w:rFonts w:ascii="PT Astra Serif" w:hAnsi="PT Astra Serif" w:eastAsia="PT Astra Serif" w:cs="PT Astra Serif"/>
                <w:sz w:val="24"/>
                <w:highlight w:val="white"/>
              </w:rPr>
              <w:t xml:space="preserve">%)   </w:t>
            </w:r>
            <w:r>
              <w:rPr>
                <w:rFonts w:ascii="PT Astra Serif" w:hAnsi="PT Astra Serif" w:eastAsia="PT Astra Serif" w:cs="PT Astra Serif"/>
                <w:sz w:val="24"/>
                <w:highlight w:val="white"/>
              </w:rPr>
              <w:t xml:space="preserve">                                   </w:t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1.4.4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highlight w:val="white"/>
              </w:rPr>
              <w:t xml:space="preserve">Приобретение автоцистерны на шасси для подвоза воды                </w:t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val="en-US"/>
              </w:rPr>
              <w:t xml:space="preserve">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  <w:t xml:space="preserve">Вывод из эксплуатации, консервация и демонтаж иных объектов централизованных систем водоснабжения (за исключением сетей водоснабжения)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val="en-US"/>
              </w:rPr>
              <w:t xml:space="preserve">.5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.1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highlight w:val="white"/>
              </w:rPr>
              <w:t xml:space="preserve">Тампонирование скважин</w:t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Создание и (или) модернизация, приобретение информационных систем и программ для электронных вычислительных машин, технических средств обеспечения функционирования информационных систем и программ для электронных вычислительных машин 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Создание цифровой инфраструктуры. Приобретение программы «Управление водоканалом 2». Приобретение программного обеспечения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.2</w:t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ff0000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Создание цифровой инфраструктуры </w:t>
            </w:r>
            <w:r>
              <w:rPr>
                <w:rFonts w:ascii="PT Astra Serif" w:hAnsi="PT Astra Serif" w:cs="PT Astra Serif"/>
                <w:color w:val="ff0000"/>
                <w:sz w:val="24"/>
              </w:rPr>
            </w:r>
            <w:r>
              <w:rPr>
                <w:rFonts w:ascii="PT Astra Serif" w:hAnsi="PT Astra Serif" w:cs="PT Astra Serif"/>
                <w:color w:val="ff0000"/>
                <w:sz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0"/>
        </w:trPr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6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II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Система водоотведения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1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Строительство новых сетей водоотведения в целях подключения потребителей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2.1.1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Строительство КНС-1; коллекторов от КНС-1а до КОС, от общественных зданий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мкр.Иглаково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 (строительство сетей напорной канализации) (продолжение)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2.2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Реконструкция, модернизация, техническое перевооружение существующих сетей водоотведения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2.2.1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Модернизация производственной, хозяйственно-бытовой канализации и технологического процесса отведения сточных вод на КОС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г.Северска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(проведение технического обследования, ПИР, СМР, ПНР)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Реконструкция, модернизация, техническое перевооружение существующих объектов централизованных систем водоотведения, за исключением систем водоотведения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Модернизация технологического оборудования КНС-4а. Монтаж шкафа управления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насосными агрегатами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 контроля насосны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агрегат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Модернизация контактных резервуаров КОС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1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Создание, приобретение основных средств и нематериальных активов, необходимых для обеспечения функционирования, развития, повышения надежности и энергетической эффективности объектов ЦСВО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КНС - 2а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 (замена технологического оборудования)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КНС - 1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 (замена технологического оборудования)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f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Приобретение оборудования для химико-бактериологической лаборатории</w:t>
            </w:r>
            <w:r>
              <w:rPr>
                <w:rFonts w:ascii="PT Astra Serif" w:hAnsi="PT Astra Serif" w:cs="PT Astra Serif"/>
                <w:color w:val="0000ff"/>
                <w:sz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Приобретение мотопомпы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Приобретение фронтального погрузчика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Приобретение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каналопромывочной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машины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Приобретение экскаватора колесного и навесного оборудования (30% стоимости)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Приобретение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каналопромывочной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лаборатории на базе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Газель бизнес-27527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Приобретение самосвала КАМАЗ 6520</w:t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ff0000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Приобретение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виброкатка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двухвальцового</w:t>
            </w:r>
            <w:r>
              <w:rPr>
                <w:rFonts w:ascii="PT Astra Serif" w:hAnsi="PT Astra Serif" w:cs="PT Astra Serif"/>
                <w:color w:val="ff0000"/>
                <w:sz w:val="24"/>
              </w:rPr>
            </w:r>
            <w:r>
              <w:rPr>
                <w:rFonts w:ascii="PT Astra Serif" w:hAnsi="PT Astra Serif" w:cs="PT Astra Serif"/>
                <w:color w:val="ff0000"/>
                <w:sz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9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f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f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ff0000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Приобретение передвижного компрессора</w:t>
            </w:r>
            <w:r>
              <w:rPr>
                <w:rFonts w:ascii="PT Astra Serif" w:hAnsi="PT Astra Serif" w:cs="PT Astra Serif"/>
                <w:color w:val="ff0000"/>
                <w:sz w:val="24"/>
              </w:rPr>
            </w:r>
            <w:r>
              <w:rPr>
                <w:rFonts w:ascii="PT Astra Serif" w:hAnsi="PT Astra Serif" w:cs="PT Astra Serif"/>
                <w:color w:val="ff0000"/>
                <w:sz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1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Создание и (или) модернизация, приобретение автоматизированных систем учета сточных вод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1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Организация и устройство автоматизированной системы диспетчерского контроля (АСДК) канализационных насосных станций 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г.Северске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1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6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Создание и (или) модернизация, приобретение информационных систем и программ для электронных вычислительных машин, технических средств обеспечения функционирования информационных систем и программ для электронных вычислительных машин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Создание цифровой инфраструктуры. Приобретение программного обеспечения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1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Создание цифровой инфраструктуры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4) реализация мероприятий по защите централизованных систем водоснабжения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и водоотведения и их отдельных объектов от угроз техногенного, природного характера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и террористических актов, по предотвращению возникновения аварийных ситуаций, снижению риска и смягчению последствий чрезвычайных ситуаций, представленных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в таблице 4.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  <w:lang w:val="en-US"/>
        </w:rPr>
        <w:t xml:space="preserve">Таблица</w:t>
      </w: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  <w:lang w:val="en-US"/>
        </w:rPr>
        <w:t xml:space="preserve"> 4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tbl>
      <w:tblPr>
        <w:tblW w:w="10206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900"/>
        <w:gridCol w:w="9306"/>
      </w:tblGrid>
      <w:tr>
        <w:tblPrEx/>
        <w:trPr>
          <w:trHeight w:val="218"/>
          <w:tblHeader/>
        </w:trPr>
        <w:tc>
          <w:tcPr>
            <w:shd w:val="clear" w:color="auto" w:fill="auto"/>
            <w:tcW w:w="90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30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W w:w="9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30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Система оповещения и управления эвакуацией людей в случае возникновения пожара в зданиях по адресам: Томская область, ЗАТО Северск,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ул.Парусинка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, 14, строения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 1, 5, 8; Томская область, ЗАТО Северск,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ул.Лесная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, 12а, строения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№ 1, 2, 6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W w:w="9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30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Модернизация системы пожаротушения объектов АО «СВК»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W w:w="9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30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Модернизация системы видеонаблюдения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</w:tbl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5) реализация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мероприятий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 выполнению обязательных требований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 законодательством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представленных в таблице 5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yellow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yellow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  <w:lang w:val="en-US"/>
        </w:rPr>
        <w:t xml:space="preserve">Таблица</w:t>
      </w: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</w:rPr>
        <w:t xml:space="preserve">5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tbl>
      <w:tblPr>
        <w:tblW w:w="10206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51"/>
        <w:gridCol w:w="9355"/>
      </w:tblGrid>
      <w:tr>
        <w:tblPrEx/>
        <w:trPr>
          <w:trHeight w:val="218"/>
        </w:trPr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3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1.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35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Обследование строительных конструкций объектов системы водоснабжения                     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соответствии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со статьей 37 Федерального закона от 7 декабря 2011 года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br/>
              <w:t xml:space="preserve">№ 416-ФЗ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О водоснабжении и водоотведении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»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2.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35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highlight w:val="green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Переоценка эксплуатационных запасов пресных подземных вод Северского месторождения для хозяйственно-питьевого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-14"/>
                <w:sz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водоснабжения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г.Северска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. Лицензирование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highlight w:val="green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highlight w:val="green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3.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35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Проведение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-14"/>
                <w:sz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технического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-14"/>
                <w:sz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обследования системы водоснабжения в соответствии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br/>
              <w:t xml:space="preserve">с приказом Министерства строительства и жилищно-коммунального хозяйства Российской Федерации от 5 августа 2014 г. № 437/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пр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4.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935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Обследование строительных конструкций объектов системы водоотведения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br/>
              <w:t xml:space="preserve">в соответствии со статьей 37 Федерального закона от 7 декабря 2011 года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br/>
              <w:t xml:space="preserve">№ 416-ФЗ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О водоснабжении и водоотведении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»</w:t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</w:rPr>
            </w:r>
          </w:p>
        </w:tc>
      </w:tr>
    </w:tbl>
    <w:p>
      <w:pPr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 w:eastAsia="en-US"/>
        </w:rPr>
        <w:t xml:space="preserve">III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 w:eastAsia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СРОКИ РАЗРАБОТКИ ПРОЕКТА КОРРЕКТИРОВКИ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</w:r>
    </w:p>
    <w:p>
      <w:pPr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ИНВЕНСТИЦИОННОЙ ПРОГРАММЫ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spacing w:before="120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6. Проект корректировки инвестиционной программы разрабатывается в течение двух месяцев после утверждения технического задания.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IV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 ПОРЯДОК И ФОРМА ПРЕДСТАВЛЕНИЯ, РАССМОТРЕНИЯ И УТВЕРЖДЕНИЯ ИНВЕСТИЦИОННОЙ ПРОГРАММЫ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spacing w:before="120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7. Акционерное общество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 «Северский водоканал» направляет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на согласование 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роект корректировки 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нвестиционной программы в Администрацию ЗАТО Северск на предмет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br/>
        <w:t xml:space="preserve">ее соответствия техническому заданию в части мероприятий, реализуемых на территории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br/>
        <w:t xml:space="preserve">ЗАТО Северск, затрагивающих обеспечение водоснабжением и (или) водоотведением абонентов. Администрация ЗАТО Северск уведомляет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Акционерное общество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 «Северский водоканал»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br/>
        <w:t xml:space="preserve">о согласовании или отказе в согласовании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проекта корректировки инвестиционной программы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       в течение 30 дней со дня представления проекта корректировки инвестиционной программы              на согласование.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8. Утверждение корректировки инвестиционной программы осуществляется Департаментом тарифного регулирования Томской области.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7" w:h="16840" w:orient="portrait"/>
      <w:pgMar w:top="1134" w:right="567" w:bottom="1134" w:left="1134" w:header="391" w:footer="31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Liberation Sans">
    <w:panose1 w:val="020B0604020202020204"/>
  </w:font>
  <w:font w:name="Times New Roman CYR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0384509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rPr>
        <w:sz w:val="16"/>
      </w:rPr>
    </w:pPr>
    <w:r>
      <w:t xml:space="preserve">Внутренний номер: 0384509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  <w:rFonts w:ascii="PT Astra Serif" w:hAnsi="PT Astra Serif" w:cs="PT Astra Serif"/>
        <w:sz w:val="24"/>
        <w:szCs w:val="24"/>
      </w:rPr>
      <w:framePr w:w="734" w:h="444" w:wrap="around" w:vAnchor="page" w:hAnchor="page" w:x="6179" w:y="476"/>
    </w:pPr>
    <w:r>
      <w:rPr>
        <w:rStyle w:val="940"/>
        <w:rFonts w:ascii="PT Astra Serif" w:hAnsi="PT Astra Serif" w:eastAsia="PT Astra Serif" w:cs="PT Astra Serif"/>
        <w:sz w:val="24"/>
        <w:szCs w:val="24"/>
      </w:rPr>
      <w:fldChar w:fldCharType="begin"/>
    </w:r>
    <w:r>
      <w:rPr>
        <w:rStyle w:val="940"/>
        <w:rFonts w:ascii="PT Astra Serif" w:hAnsi="PT Astra Serif" w:eastAsia="PT Astra Serif" w:cs="PT Astra Serif"/>
        <w:sz w:val="24"/>
        <w:szCs w:val="24"/>
      </w:rPr>
      <w:instrText xml:space="preserve">PAGE  </w:instrText>
    </w:r>
    <w:r>
      <w:rPr>
        <w:rStyle w:val="940"/>
        <w:rFonts w:ascii="PT Astra Serif" w:hAnsi="PT Astra Serif" w:eastAsia="PT Astra Serif" w:cs="PT Astra Serif"/>
        <w:sz w:val="24"/>
        <w:szCs w:val="24"/>
      </w:rPr>
      <w:fldChar w:fldCharType="separate"/>
    </w:r>
    <w:r>
      <w:rPr>
        <w:rStyle w:val="940"/>
        <w:rFonts w:ascii="PT Astra Serif" w:hAnsi="PT Astra Serif" w:eastAsia="PT Astra Serif" w:cs="PT Astra Serif"/>
        <w:sz w:val="24"/>
        <w:szCs w:val="24"/>
      </w:rPr>
      <w:t xml:space="preserve">9</w:t>
    </w:r>
    <w:r>
      <w:rPr>
        <w:rStyle w:val="940"/>
        <w:rFonts w:ascii="PT Astra Serif" w:hAnsi="PT Astra Serif" w:eastAsia="PT Astra Serif" w:cs="PT Astra Serif"/>
        <w:sz w:val="24"/>
        <w:szCs w:val="24"/>
      </w:rPr>
      <w:fldChar w:fldCharType="end"/>
    </w:r>
    <w:r>
      <w:rPr>
        <w:rStyle w:val="940"/>
        <w:rFonts w:ascii="PT Astra Serif" w:hAnsi="PT Astra Serif" w:cs="PT Astra Serif"/>
        <w:sz w:val="24"/>
        <w:szCs w:val="24"/>
      </w:rPr>
    </w:r>
    <w:r>
      <w:rPr>
        <w:rStyle w:val="940"/>
        <w:rFonts w:ascii="PT Astra Serif" w:hAnsi="PT Astra Serif" w:cs="PT Astra Serif"/>
        <w:sz w:val="24"/>
        <w:szCs w:val="24"/>
      </w:rPr>
    </w:r>
  </w:p>
  <w:p>
    <w:pPr>
      <w:pStyle w:val="939"/>
      <w:rPr>
        <w:rFonts w:ascii="PT Astra Serif" w:hAnsi="PT Astra Serif" w:cs="PT Astra Serif"/>
      </w:rPr>
    </w:pP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  <w:p>
    <w:pPr>
      <w:pStyle w:val="939"/>
      <w:rPr>
        <w:rFonts w:ascii="PT Astra Serif" w:hAnsi="PT Astra Serif" w:cs="PT Astra Serif"/>
      </w:rPr>
    </w:pP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  <w:p>
    <w:pPr>
      <w:pStyle w:val="939"/>
      <w:spacing w:before="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</w:pPr>
    <w:r/>
    <w:r/>
  </w:p>
  <w:p>
    <w:pPr>
      <w:pStyle w:val="939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3" w:default="1">
    <w:name w:val="Normal"/>
    <w:qFormat/>
    <w:rPr>
      <w:rFonts w:ascii="Times New Roman CYR" w:hAnsi="Times New Roman CYR"/>
    </w:rPr>
  </w:style>
  <w:style w:type="paragraph" w:styleId="744">
    <w:name w:val="Heading 1"/>
    <w:basedOn w:val="743"/>
    <w:next w:val="743"/>
    <w:link w:val="773"/>
    <w:qFormat/>
    <w:pPr>
      <w:jc w:val="center"/>
      <w:keepNext/>
      <w:outlineLvl w:val="0"/>
    </w:pPr>
    <w:rPr>
      <w:b/>
      <w:sz w:val="28"/>
    </w:rPr>
  </w:style>
  <w:style w:type="paragraph" w:styleId="745">
    <w:name w:val="Heading 2"/>
    <w:basedOn w:val="743"/>
    <w:next w:val="743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46">
    <w:name w:val="Heading 3"/>
    <w:basedOn w:val="743"/>
    <w:next w:val="743"/>
    <w:link w:val="77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47">
    <w:name w:val="Heading 4"/>
    <w:basedOn w:val="743"/>
    <w:next w:val="743"/>
    <w:link w:val="77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8">
    <w:name w:val="Heading 5"/>
    <w:basedOn w:val="743"/>
    <w:next w:val="743"/>
    <w:link w:val="77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9">
    <w:name w:val="Heading 6"/>
    <w:basedOn w:val="743"/>
    <w:next w:val="743"/>
    <w:link w:val="77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0">
    <w:name w:val="Heading 7"/>
    <w:basedOn w:val="743"/>
    <w:next w:val="743"/>
    <w:link w:val="77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1">
    <w:name w:val="Heading 8"/>
    <w:basedOn w:val="743"/>
    <w:next w:val="743"/>
    <w:link w:val="78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2">
    <w:name w:val="Heading 9"/>
    <w:basedOn w:val="743"/>
    <w:next w:val="743"/>
    <w:link w:val="78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3" w:default="1">
    <w:name w:val="Default Paragraph Font"/>
    <w:uiPriority w:val="1"/>
    <w:semiHidden/>
    <w:unhideWhenUsed/>
  </w:style>
  <w:style w:type="table" w:styleId="7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5" w:default="1">
    <w:name w:val="No List"/>
    <w:uiPriority w:val="99"/>
    <w:semiHidden/>
    <w:unhideWhenUsed/>
  </w:style>
  <w:style w:type="character" w:styleId="756" w:customStyle="1">
    <w:name w:val="Heading 1 Char"/>
    <w:basedOn w:val="75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7" w:customStyle="1">
    <w:name w:val="Heading 2 Char"/>
    <w:basedOn w:val="753"/>
    <w:uiPriority w:val="9"/>
    <w:rPr>
      <w:rFonts w:ascii="Liberation Sans" w:hAnsi="Liberation Sans" w:eastAsia="Liberation Sans" w:cs="Liberation Sans"/>
      <w:sz w:val="34"/>
    </w:rPr>
  </w:style>
  <w:style w:type="character" w:styleId="758" w:customStyle="1">
    <w:name w:val="Heading 3 Char"/>
    <w:basedOn w:val="75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9" w:customStyle="1">
    <w:name w:val="Heading 4 Char"/>
    <w:basedOn w:val="75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0" w:customStyle="1">
    <w:name w:val="Heading 5 Char"/>
    <w:basedOn w:val="75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1" w:customStyle="1">
    <w:name w:val="Heading 6 Char"/>
    <w:basedOn w:val="75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2" w:customStyle="1">
    <w:name w:val="Heading 7 Char"/>
    <w:basedOn w:val="75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3" w:customStyle="1">
    <w:name w:val="Heading 8 Char"/>
    <w:basedOn w:val="75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4" w:customStyle="1">
    <w:name w:val="Heading 9 Char"/>
    <w:basedOn w:val="75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5" w:customStyle="1">
    <w:name w:val="Title Char"/>
    <w:basedOn w:val="753"/>
    <w:uiPriority w:val="10"/>
    <w:rPr>
      <w:sz w:val="48"/>
      <w:szCs w:val="48"/>
    </w:rPr>
  </w:style>
  <w:style w:type="character" w:styleId="766" w:customStyle="1">
    <w:name w:val="Subtitle Char"/>
    <w:basedOn w:val="753"/>
    <w:uiPriority w:val="11"/>
    <w:rPr>
      <w:sz w:val="24"/>
      <w:szCs w:val="24"/>
    </w:rPr>
  </w:style>
  <w:style w:type="character" w:styleId="767" w:customStyle="1">
    <w:name w:val="Quote Char"/>
    <w:uiPriority w:val="29"/>
    <w:rPr>
      <w:i/>
    </w:rPr>
  </w:style>
  <w:style w:type="character" w:styleId="768" w:customStyle="1">
    <w:name w:val="Intense Quote Char"/>
    <w:uiPriority w:val="30"/>
    <w:rPr>
      <w:i/>
    </w:rPr>
  </w:style>
  <w:style w:type="character" w:styleId="769" w:customStyle="1">
    <w:name w:val="Header Char"/>
    <w:basedOn w:val="753"/>
    <w:uiPriority w:val="99"/>
  </w:style>
  <w:style w:type="character" w:styleId="770" w:customStyle="1">
    <w:name w:val="Caption Char"/>
    <w:basedOn w:val="753"/>
    <w:uiPriority w:val="35"/>
    <w:rPr>
      <w:b/>
      <w:bCs/>
      <w:color w:val="5b9bd5" w:themeColor="accent1"/>
      <w:sz w:val="18"/>
      <w:szCs w:val="18"/>
    </w:rPr>
  </w:style>
  <w:style w:type="character" w:styleId="771" w:customStyle="1">
    <w:name w:val="Footnote Text Char"/>
    <w:uiPriority w:val="99"/>
    <w:rPr>
      <w:sz w:val="18"/>
    </w:rPr>
  </w:style>
  <w:style w:type="character" w:styleId="772" w:customStyle="1">
    <w:name w:val="Endnote Text Char"/>
    <w:uiPriority w:val="99"/>
    <w:rPr>
      <w:sz w:val="20"/>
    </w:rPr>
  </w:style>
  <w:style w:type="character" w:styleId="773" w:customStyle="1">
    <w:name w:val="Заголовок 1 Знак"/>
    <w:basedOn w:val="753"/>
    <w:link w:val="74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74" w:customStyle="1">
    <w:name w:val="Заголовок 2 Знак"/>
    <w:basedOn w:val="753"/>
    <w:link w:val="745"/>
    <w:uiPriority w:val="9"/>
    <w:rPr>
      <w:rFonts w:ascii="Liberation Sans" w:hAnsi="Liberation Sans" w:eastAsia="Liberation Sans" w:cs="Liberation Sans"/>
      <w:sz w:val="34"/>
    </w:rPr>
  </w:style>
  <w:style w:type="character" w:styleId="775" w:customStyle="1">
    <w:name w:val="Заголовок 3 Знак"/>
    <w:basedOn w:val="753"/>
    <w:link w:val="74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76" w:customStyle="1">
    <w:name w:val="Заголовок 4 Знак"/>
    <w:basedOn w:val="753"/>
    <w:link w:val="74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7" w:customStyle="1">
    <w:name w:val="Заголовок 5 Знак"/>
    <w:basedOn w:val="753"/>
    <w:link w:val="74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8" w:customStyle="1">
    <w:name w:val="Заголовок 6 Знак"/>
    <w:basedOn w:val="753"/>
    <w:link w:val="74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9" w:customStyle="1">
    <w:name w:val="Заголовок 7 Знак"/>
    <w:basedOn w:val="753"/>
    <w:link w:val="75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80" w:customStyle="1">
    <w:name w:val="Заголовок 8 Знак"/>
    <w:basedOn w:val="753"/>
    <w:link w:val="75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81" w:customStyle="1">
    <w:name w:val="Заголовок 9 Знак"/>
    <w:basedOn w:val="753"/>
    <w:link w:val="75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82">
    <w:name w:val="List Paragraph"/>
    <w:basedOn w:val="743"/>
    <w:uiPriority w:val="34"/>
    <w:qFormat/>
    <w:pPr>
      <w:contextualSpacing/>
      <w:ind w:left="720"/>
    </w:pPr>
  </w:style>
  <w:style w:type="paragraph" w:styleId="783">
    <w:name w:val="No Spacing"/>
    <w:uiPriority w:val="1"/>
    <w:qFormat/>
  </w:style>
  <w:style w:type="paragraph" w:styleId="784">
    <w:name w:val="Title"/>
    <w:basedOn w:val="743"/>
    <w:next w:val="743"/>
    <w:link w:val="7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5" w:customStyle="1">
    <w:name w:val="Заголовок Знак"/>
    <w:basedOn w:val="753"/>
    <w:link w:val="784"/>
    <w:uiPriority w:val="10"/>
    <w:rPr>
      <w:sz w:val="48"/>
      <w:szCs w:val="48"/>
    </w:rPr>
  </w:style>
  <w:style w:type="paragraph" w:styleId="786">
    <w:name w:val="Subtitle"/>
    <w:basedOn w:val="743"/>
    <w:next w:val="743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53"/>
    <w:link w:val="786"/>
    <w:uiPriority w:val="11"/>
    <w:rPr>
      <w:sz w:val="24"/>
      <w:szCs w:val="24"/>
    </w:rPr>
  </w:style>
  <w:style w:type="paragraph" w:styleId="788">
    <w:name w:val="Quote"/>
    <w:basedOn w:val="743"/>
    <w:next w:val="743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43"/>
    <w:next w:val="743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Верхний колонтитул Знак"/>
    <w:basedOn w:val="753"/>
    <w:link w:val="939"/>
    <w:uiPriority w:val="99"/>
  </w:style>
  <w:style w:type="character" w:styleId="793" w:customStyle="1">
    <w:name w:val="Footer Char"/>
    <w:basedOn w:val="753"/>
    <w:uiPriority w:val="99"/>
  </w:style>
  <w:style w:type="paragraph" w:styleId="794">
    <w:name w:val="Caption"/>
    <w:basedOn w:val="743"/>
    <w:next w:val="743"/>
    <w:link w:val="795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95" w:customStyle="1">
    <w:name w:val="Название объекта Знак"/>
    <w:basedOn w:val="753"/>
    <w:link w:val="794"/>
    <w:uiPriority w:val="35"/>
    <w:rPr>
      <w:b/>
      <w:bCs/>
      <w:color w:val="5b9bd5" w:themeColor="accent1"/>
      <w:sz w:val="18"/>
      <w:szCs w:val="18"/>
    </w:rPr>
  </w:style>
  <w:style w:type="table" w:styleId="796">
    <w:name w:val="Table Grid"/>
    <w:basedOn w:val="75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7" w:customStyle="1">
    <w:name w:val="Table Grid Light"/>
    <w:basedOn w:val="75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8">
    <w:name w:val="Plain Table 1"/>
    <w:basedOn w:val="75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9">
    <w:name w:val="Plain Table 2"/>
    <w:basedOn w:val="75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00">
    <w:name w:val="Plain Table 3"/>
    <w:basedOn w:val="754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1">
    <w:name w:val="Plain Table 4"/>
    <w:basedOn w:val="754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Plain Table 5"/>
    <w:basedOn w:val="754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3">
    <w:name w:val="Grid Table 1 Light"/>
    <w:basedOn w:val="75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1"/>
    <w:basedOn w:val="754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2"/>
    <w:basedOn w:val="754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3"/>
    <w:basedOn w:val="754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4"/>
    <w:basedOn w:val="754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5"/>
    <w:basedOn w:val="754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6"/>
    <w:basedOn w:val="754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2"/>
    <w:basedOn w:val="75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1"/>
    <w:basedOn w:val="754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2"/>
    <w:basedOn w:val="754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3"/>
    <w:basedOn w:val="754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4"/>
    <w:basedOn w:val="754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5"/>
    <w:basedOn w:val="754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6"/>
    <w:basedOn w:val="754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"/>
    <w:basedOn w:val="75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1"/>
    <w:basedOn w:val="754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2"/>
    <w:basedOn w:val="754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3"/>
    <w:basedOn w:val="754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4"/>
    <w:basedOn w:val="754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5"/>
    <w:basedOn w:val="754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6"/>
    <w:basedOn w:val="754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4"/>
    <w:basedOn w:val="75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5" w:customStyle="1">
    <w:name w:val="Grid Table 4 - Accent 1"/>
    <w:basedOn w:val="754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26" w:customStyle="1">
    <w:name w:val="Grid Table 4 - Accent 2"/>
    <w:basedOn w:val="754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27" w:customStyle="1">
    <w:name w:val="Grid Table 4 - Accent 3"/>
    <w:basedOn w:val="754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28" w:customStyle="1">
    <w:name w:val="Grid Table 4 - Accent 4"/>
    <w:basedOn w:val="754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29" w:customStyle="1">
    <w:name w:val="Grid Table 4 - Accent 5"/>
    <w:basedOn w:val="754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30" w:customStyle="1">
    <w:name w:val="Grid Table 4 - Accent 6"/>
    <w:basedOn w:val="754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31">
    <w:name w:val="Grid Table 5 Dark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- Accent 1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2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3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- Accent 4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5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 - Accent 6"/>
    <w:basedOn w:val="75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38">
    <w:name w:val="Grid Table 6 Colorful"/>
    <w:basedOn w:val="75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9" w:customStyle="1">
    <w:name w:val="Grid Table 6 Colorful - Accent 1"/>
    <w:basedOn w:val="754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40" w:customStyle="1">
    <w:name w:val="Grid Table 6 Colorful - Accent 2"/>
    <w:basedOn w:val="754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41" w:customStyle="1">
    <w:name w:val="Grid Table 6 Colorful - Accent 3"/>
    <w:basedOn w:val="754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42" w:customStyle="1">
    <w:name w:val="Grid Table 6 Colorful - Accent 4"/>
    <w:basedOn w:val="754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43" w:customStyle="1">
    <w:name w:val="Grid Table 6 Colorful - Accent 5"/>
    <w:basedOn w:val="754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44" w:customStyle="1">
    <w:name w:val="Grid Table 6 Colorful - Accent 6"/>
    <w:basedOn w:val="754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45">
    <w:name w:val="Grid Table 7 Colorful"/>
    <w:basedOn w:val="75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1"/>
    <w:basedOn w:val="754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2"/>
    <w:basedOn w:val="754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3"/>
    <w:basedOn w:val="754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4"/>
    <w:basedOn w:val="754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5"/>
    <w:basedOn w:val="754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Grid Table 7 Colorful - Accent 6"/>
    <w:basedOn w:val="754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>
    <w:name w:val="List Table 1 Light"/>
    <w:basedOn w:val="75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1"/>
    <w:basedOn w:val="754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2"/>
    <w:basedOn w:val="754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3"/>
    <w:basedOn w:val="754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4"/>
    <w:basedOn w:val="754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5"/>
    <w:basedOn w:val="754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6"/>
    <w:basedOn w:val="754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2"/>
    <w:basedOn w:val="75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1"/>
    <w:basedOn w:val="754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2"/>
    <w:basedOn w:val="754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3"/>
    <w:basedOn w:val="754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4"/>
    <w:basedOn w:val="754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5"/>
    <w:basedOn w:val="754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6"/>
    <w:basedOn w:val="754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66">
    <w:name w:val="List Table 3"/>
    <w:basedOn w:val="75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1"/>
    <w:basedOn w:val="754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2"/>
    <w:basedOn w:val="754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3"/>
    <w:basedOn w:val="754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4"/>
    <w:basedOn w:val="754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5"/>
    <w:basedOn w:val="754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6"/>
    <w:basedOn w:val="754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"/>
    <w:basedOn w:val="75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1"/>
    <w:basedOn w:val="754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2"/>
    <w:basedOn w:val="754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3"/>
    <w:basedOn w:val="754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4"/>
    <w:basedOn w:val="754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5"/>
    <w:basedOn w:val="754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6"/>
    <w:basedOn w:val="754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5 Dark"/>
    <w:basedOn w:val="75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1" w:customStyle="1">
    <w:name w:val="List Table 5 Dark - Accent 1"/>
    <w:basedOn w:val="754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2" w:customStyle="1">
    <w:name w:val="List Table 5 Dark - Accent 2"/>
    <w:basedOn w:val="754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3" w:customStyle="1">
    <w:name w:val="List Table 5 Dark - Accent 3"/>
    <w:basedOn w:val="754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4" w:customStyle="1">
    <w:name w:val="List Table 5 Dark - Accent 4"/>
    <w:basedOn w:val="754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5" w:customStyle="1">
    <w:name w:val="List Table 5 Dark - Accent 5"/>
    <w:basedOn w:val="754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6" w:customStyle="1">
    <w:name w:val="List Table 5 Dark - Accent 6"/>
    <w:basedOn w:val="754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7">
    <w:name w:val="List Table 6 Colorful"/>
    <w:basedOn w:val="75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8" w:customStyle="1">
    <w:name w:val="List Table 6 Colorful - Accent 1"/>
    <w:basedOn w:val="754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89" w:customStyle="1">
    <w:name w:val="List Table 6 Colorful - Accent 2"/>
    <w:basedOn w:val="754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90" w:customStyle="1">
    <w:name w:val="List Table 6 Colorful - Accent 3"/>
    <w:basedOn w:val="754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91" w:customStyle="1">
    <w:name w:val="List Table 6 Colorful - Accent 4"/>
    <w:basedOn w:val="754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92" w:customStyle="1">
    <w:name w:val="List Table 6 Colorful - Accent 5"/>
    <w:basedOn w:val="754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93" w:customStyle="1">
    <w:name w:val="List Table 6 Colorful - Accent 6"/>
    <w:basedOn w:val="754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94">
    <w:name w:val="List Table 7 Colorful"/>
    <w:basedOn w:val="75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1"/>
    <w:basedOn w:val="754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2"/>
    <w:basedOn w:val="754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3"/>
    <w:basedOn w:val="754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4"/>
    <w:basedOn w:val="754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5"/>
    <w:basedOn w:val="754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st Table 7 Colorful - Accent 6"/>
    <w:basedOn w:val="754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Lined - Accent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2" w:customStyle="1">
    <w:name w:val="Lined - Accent 1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03" w:customStyle="1">
    <w:name w:val="Lined - Accent 2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4" w:customStyle="1">
    <w:name w:val="Lined - Accent 3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5" w:customStyle="1">
    <w:name w:val="Lined - Accent 4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6" w:customStyle="1">
    <w:name w:val="Lined - Accent 5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7" w:customStyle="1">
    <w:name w:val="Lined - Accent 6"/>
    <w:basedOn w:val="75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8" w:customStyle="1">
    <w:name w:val="Bordered &amp; Lined - Accent"/>
    <w:basedOn w:val="75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9" w:customStyle="1">
    <w:name w:val="Bordered &amp; Lined - Accent 1"/>
    <w:basedOn w:val="754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10" w:customStyle="1">
    <w:name w:val="Bordered &amp; Lined - Accent 2"/>
    <w:basedOn w:val="754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11" w:customStyle="1">
    <w:name w:val="Bordered &amp; Lined - Accent 3"/>
    <w:basedOn w:val="754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12" w:customStyle="1">
    <w:name w:val="Bordered &amp; Lined - Accent 4"/>
    <w:basedOn w:val="754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13" w:customStyle="1">
    <w:name w:val="Bordered &amp; Lined - Accent 5"/>
    <w:basedOn w:val="754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14" w:customStyle="1">
    <w:name w:val="Bordered &amp; Lined - Accent 6"/>
    <w:basedOn w:val="754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15" w:customStyle="1">
    <w:name w:val="Bordered"/>
    <w:basedOn w:val="75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6" w:customStyle="1">
    <w:name w:val="Bordered - Accent 1"/>
    <w:basedOn w:val="754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17" w:customStyle="1">
    <w:name w:val="Bordered - Accent 2"/>
    <w:basedOn w:val="754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18" w:customStyle="1">
    <w:name w:val="Bordered - Accent 3"/>
    <w:basedOn w:val="754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19" w:customStyle="1">
    <w:name w:val="Bordered - Accent 4"/>
    <w:basedOn w:val="754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20" w:customStyle="1">
    <w:name w:val="Bordered - Accent 5"/>
    <w:basedOn w:val="754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21" w:customStyle="1">
    <w:name w:val="Bordered - Accent 6"/>
    <w:basedOn w:val="754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22">
    <w:name w:val="footnote text"/>
    <w:basedOn w:val="743"/>
    <w:link w:val="923"/>
    <w:uiPriority w:val="99"/>
    <w:semiHidden/>
    <w:unhideWhenUsed/>
    <w:pPr>
      <w:spacing w:after="40"/>
    </w:pPr>
    <w:rPr>
      <w:sz w:val="18"/>
    </w:rPr>
  </w:style>
  <w:style w:type="character" w:styleId="923" w:customStyle="1">
    <w:name w:val="Текст сноски Знак"/>
    <w:link w:val="922"/>
    <w:uiPriority w:val="99"/>
    <w:rPr>
      <w:sz w:val="18"/>
    </w:rPr>
  </w:style>
  <w:style w:type="character" w:styleId="924">
    <w:name w:val="footnote reference"/>
    <w:basedOn w:val="753"/>
    <w:uiPriority w:val="99"/>
    <w:unhideWhenUsed/>
    <w:rPr>
      <w:vertAlign w:val="superscript"/>
    </w:rPr>
  </w:style>
  <w:style w:type="paragraph" w:styleId="925">
    <w:name w:val="endnote text"/>
    <w:basedOn w:val="743"/>
    <w:link w:val="926"/>
    <w:uiPriority w:val="99"/>
    <w:semiHidden/>
    <w:unhideWhenUsed/>
  </w:style>
  <w:style w:type="character" w:styleId="926" w:customStyle="1">
    <w:name w:val="Текст концевой сноски Знак"/>
    <w:link w:val="925"/>
    <w:uiPriority w:val="99"/>
    <w:rPr>
      <w:sz w:val="20"/>
    </w:rPr>
  </w:style>
  <w:style w:type="character" w:styleId="927">
    <w:name w:val="endnote reference"/>
    <w:basedOn w:val="753"/>
    <w:uiPriority w:val="99"/>
    <w:semiHidden/>
    <w:unhideWhenUsed/>
    <w:rPr>
      <w:vertAlign w:val="superscript"/>
    </w:rPr>
  </w:style>
  <w:style w:type="paragraph" w:styleId="928">
    <w:name w:val="toc 1"/>
    <w:basedOn w:val="743"/>
    <w:next w:val="743"/>
    <w:uiPriority w:val="39"/>
    <w:unhideWhenUsed/>
    <w:pPr>
      <w:spacing w:after="57"/>
    </w:pPr>
  </w:style>
  <w:style w:type="paragraph" w:styleId="929">
    <w:name w:val="toc 2"/>
    <w:basedOn w:val="743"/>
    <w:next w:val="743"/>
    <w:uiPriority w:val="39"/>
    <w:unhideWhenUsed/>
    <w:pPr>
      <w:ind w:left="283"/>
      <w:spacing w:after="57"/>
    </w:pPr>
  </w:style>
  <w:style w:type="paragraph" w:styleId="930">
    <w:name w:val="toc 3"/>
    <w:basedOn w:val="743"/>
    <w:next w:val="743"/>
    <w:uiPriority w:val="39"/>
    <w:unhideWhenUsed/>
    <w:pPr>
      <w:ind w:left="567"/>
      <w:spacing w:after="57"/>
    </w:pPr>
  </w:style>
  <w:style w:type="paragraph" w:styleId="931">
    <w:name w:val="toc 4"/>
    <w:basedOn w:val="743"/>
    <w:next w:val="743"/>
    <w:uiPriority w:val="39"/>
    <w:unhideWhenUsed/>
    <w:pPr>
      <w:ind w:left="850"/>
      <w:spacing w:after="57"/>
    </w:pPr>
  </w:style>
  <w:style w:type="paragraph" w:styleId="932">
    <w:name w:val="toc 5"/>
    <w:basedOn w:val="743"/>
    <w:next w:val="743"/>
    <w:uiPriority w:val="39"/>
    <w:unhideWhenUsed/>
    <w:pPr>
      <w:ind w:left="1134"/>
      <w:spacing w:after="57"/>
    </w:pPr>
  </w:style>
  <w:style w:type="paragraph" w:styleId="933">
    <w:name w:val="toc 6"/>
    <w:basedOn w:val="743"/>
    <w:next w:val="743"/>
    <w:uiPriority w:val="39"/>
    <w:unhideWhenUsed/>
    <w:pPr>
      <w:ind w:left="1417"/>
      <w:spacing w:after="57"/>
    </w:pPr>
  </w:style>
  <w:style w:type="paragraph" w:styleId="934">
    <w:name w:val="toc 7"/>
    <w:basedOn w:val="743"/>
    <w:next w:val="743"/>
    <w:uiPriority w:val="39"/>
    <w:unhideWhenUsed/>
    <w:pPr>
      <w:ind w:left="1701"/>
      <w:spacing w:after="57"/>
    </w:pPr>
  </w:style>
  <w:style w:type="paragraph" w:styleId="935">
    <w:name w:val="toc 8"/>
    <w:basedOn w:val="743"/>
    <w:next w:val="743"/>
    <w:uiPriority w:val="39"/>
    <w:unhideWhenUsed/>
    <w:pPr>
      <w:ind w:left="1984"/>
      <w:spacing w:after="57"/>
    </w:pPr>
  </w:style>
  <w:style w:type="paragraph" w:styleId="936">
    <w:name w:val="toc 9"/>
    <w:basedOn w:val="743"/>
    <w:next w:val="743"/>
    <w:uiPriority w:val="39"/>
    <w:unhideWhenUsed/>
    <w:pPr>
      <w:ind w:left="2268"/>
      <w:spacing w:after="57"/>
    </w:pPr>
  </w:style>
  <w:style w:type="paragraph" w:styleId="937">
    <w:name w:val="TOC Heading"/>
    <w:uiPriority w:val="39"/>
    <w:unhideWhenUsed/>
  </w:style>
  <w:style w:type="paragraph" w:styleId="938">
    <w:name w:val="table of figures"/>
    <w:basedOn w:val="743"/>
    <w:next w:val="743"/>
    <w:uiPriority w:val="99"/>
    <w:unhideWhenUsed/>
  </w:style>
  <w:style w:type="paragraph" w:styleId="939">
    <w:name w:val="Header"/>
    <w:basedOn w:val="743"/>
    <w:link w:val="792"/>
    <w:pPr>
      <w:tabs>
        <w:tab w:val="center" w:pos="4677" w:leader="none"/>
        <w:tab w:val="right" w:pos="9355" w:leader="none"/>
      </w:tabs>
    </w:pPr>
  </w:style>
  <w:style w:type="character" w:styleId="940">
    <w:name w:val="page number"/>
    <w:basedOn w:val="753"/>
  </w:style>
  <w:style w:type="paragraph" w:styleId="941" w:customStyle="1">
    <w:name w:val="ConsPlusTitle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42">
    <w:name w:val="Footer"/>
    <w:basedOn w:val="743"/>
    <w:link w:val="948"/>
    <w:pPr>
      <w:tabs>
        <w:tab w:val="center" w:pos="4677" w:leader="none"/>
        <w:tab w:val="right" w:pos="9355" w:leader="none"/>
      </w:tabs>
    </w:pPr>
  </w:style>
  <w:style w:type="paragraph" w:styleId="943">
    <w:name w:val="Balloon Text"/>
    <w:basedOn w:val="743"/>
    <w:semiHidden/>
    <w:rPr>
      <w:rFonts w:ascii="Tahoma" w:hAnsi="Tahoma" w:cs="Tahoma"/>
      <w:sz w:val="16"/>
      <w:szCs w:val="16"/>
    </w:rPr>
  </w:style>
  <w:style w:type="paragraph" w:styleId="944" w:customStyle="1">
    <w:name w:val="Îáû÷íûé"/>
    <w:rPr>
      <w:lang w:eastAsia="en-US"/>
    </w:rPr>
  </w:style>
  <w:style w:type="paragraph" w:styleId="945" w:customStyle="1">
    <w:name w:val="Table Paragraph"/>
    <w:basedOn w:val="743"/>
    <w:uiPriority w:val="1"/>
    <w:qFormat/>
    <w:pPr>
      <w:widowControl w:val="off"/>
    </w:pPr>
    <w:rPr>
      <w:rFonts w:ascii="Calibri" w:hAnsi="Calibri" w:eastAsia="Calibri" w:cs="Calibri"/>
      <w:sz w:val="22"/>
      <w:szCs w:val="22"/>
      <w:lang w:eastAsia="en-US"/>
    </w:rPr>
  </w:style>
  <w:style w:type="paragraph" w:styleId="946" w:customStyle="1">
    <w:name w:val="headertext"/>
    <w:basedOn w:val="74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947">
    <w:name w:val="Hyperlink"/>
    <w:basedOn w:val="753"/>
    <w:uiPriority w:val="99"/>
    <w:semiHidden/>
    <w:unhideWhenUsed/>
    <w:rPr>
      <w:color w:val="0000ff"/>
      <w:u w:val="single"/>
    </w:rPr>
  </w:style>
  <w:style w:type="character" w:styleId="948" w:customStyle="1">
    <w:name w:val="Нижний колонтитул Знак"/>
    <w:basedOn w:val="753"/>
    <w:link w:val="942"/>
    <w:rPr>
      <w:rFonts w:ascii="Times New Roman CYR" w:hAnsi="Times New Roman CYR"/>
    </w:rPr>
  </w:style>
  <w:style w:type="paragraph" w:styleId="949" w:customStyle="1">
    <w:name w:val="ConsPlusNormal"/>
    <w:pPr>
      <w:widowControl w:val="off"/>
    </w:pPr>
    <w:rPr>
      <w:rFonts w:ascii="Calibri" w:hAnsi="Calibri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0BCCF-B1F3-4935-9CA0-C58801946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УЖКХ ТиС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Специалист</dc:creator>
  <cp:keywords/>
  <cp:lastModifiedBy>lebedeva_aa</cp:lastModifiedBy>
  <cp:revision>12</cp:revision>
  <dcterms:created xsi:type="dcterms:W3CDTF">2026-09-24T05:38:00Z</dcterms:created>
  <dcterms:modified xsi:type="dcterms:W3CDTF">2026-09-30T02:26:46Z</dcterms:modified>
</cp:coreProperties>
</file>