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2D7" w:rsidRP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 w:rsidRPr="009C4F1C">
        <w:rPr>
          <w:b w:val="0"/>
          <w:bCs w:val="0"/>
          <w:color w:val="DF6407"/>
          <w:sz w:val="39"/>
          <w:szCs w:val="39"/>
        </w:rPr>
        <w:t>Особо охраняемая природная территория местного значения «Озерный комплекс п. Самусь»</w:t>
      </w:r>
    </w:p>
    <w:p w:rsidR="009C4F1C" w:rsidRDefault="009C4F1C" w:rsidP="009C4F1C">
      <w:pPr>
        <w:pStyle w:val="a3"/>
        <w:spacing w:line="360" w:lineRule="atLeast"/>
        <w:ind w:firstLine="15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anchor distT="0" distB="0" distL="0" distR="0" simplePos="0" relativeHeight="251658240" behindDoc="0" locked="0" layoutInCell="1" allowOverlap="0" wp14:anchorId="77914EC8" wp14:editId="1C8836A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381250" cy="1704975"/>
            <wp:effectExtent l="0" t="0" r="0" b="9525"/>
            <wp:wrapSquare wrapText="bothSides"/>
            <wp:docPr id="1" name="Рисунок 1" descr="https://seversknet.ru/ecology/oopt/Gkarta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eversknet.ru/ecology/oopt/Gkarta_m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/>
      <w:r>
        <w:rPr>
          <w:rFonts w:ascii="Arial" w:hAnsi="Arial" w:cs="Arial"/>
          <w:color w:val="000000"/>
        </w:rPr>
        <w:t xml:space="preserve">Особо охраняемая природная территория местного значения «Озерный комплекс п. Самусь» расположена в окрестностях п. Самусь на территории муниципального образования городской </w:t>
      </w:r>
      <w:proofErr w:type="gramStart"/>
      <w:r>
        <w:rPr>
          <w:rFonts w:ascii="Arial" w:hAnsi="Arial" w:cs="Arial"/>
          <w:color w:val="000000"/>
        </w:rPr>
        <w:t>округ</w:t>
      </w:r>
      <w:proofErr w:type="gramEnd"/>
      <w:r>
        <w:rPr>
          <w:rFonts w:ascii="Arial" w:hAnsi="Arial" w:cs="Arial"/>
          <w:color w:val="000000"/>
        </w:rPr>
        <w:t xml:space="preserve"> ЗАТО Северск Томской области. Территория находится с восточной стороны от п. Самусь, с северной стороны ограничена рекой </w:t>
      </w:r>
      <w:proofErr w:type="spellStart"/>
      <w:r>
        <w:rPr>
          <w:rFonts w:ascii="Arial" w:hAnsi="Arial" w:cs="Arial"/>
          <w:color w:val="000000"/>
        </w:rPr>
        <w:t>Камышка</w:t>
      </w:r>
      <w:proofErr w:type="spellEnd"/>
      <w:r>
        <w:rPr>
          <w:rFonts w:ascii="Arial" w:hAnsi="Arial" w:cs="Arial"/>
          <w:color w:val="000000"/>
        </w:rPr>
        <w:t xml:space="preserve">, с восточной стороны - территориальной границей ЗАТО Северск и автодорогой на деревню Петропавловка, с южной стороны - автодорогой Томск-Самусь до въезда в п. Самусь, с западной стороны граница проходит вдоль восточной окраины п. Самусь до автодороги в деревню </w:t>
      </w:r>
      <w:proofErr w:type="gramStart"/>
      <w:r>
        <w:rPr>
          <w:rFonts w:ascii="Arial" w:hAnsi="Arial" w:cs="Arial"/>
          <w:color w:val="000000"/>
        </w:rPr>
        <w:t>Орловка .</w:t>
      </w:r>
      <w:proofErr w:type="gramEnd"/>
    </w:p>
    <w:p w:rsidR="009C4F1C" w:rsidRDefault="009C4F1C" w:rsidP="009C4F1C">
      <w:pPr>
        <w:pStyle w:val="a3"/>
        <w:spacing w:line="360" w:lineRule="atLeast"/>
        <w:ind w:firstLine="15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«Озерный комплекс п. Самусь» представляет собой уникальный природный комплекс, обладающий высоким рекреационным и научно-познавательным потенциалом. Он включает земли особой экологической ценности и ответственности - район размещения озерных котловин и общую водосборную площадь озерного комплекса и является территорией с живописным рельефом и высокими пейзажными достоинствами.</w:t>
      </w:r>
    </w:p>
    <w:p w:rsidR="009C4F1C" w:rsidRDefault="009C4F1C" w:rsidP="009C4F1C">
      <w:pPr>
        <w:pStyle w:val="a3"/>
        <w:spacing w:line="360" w:lineRule="atLeast"/>
        <w:ind w:firstLine="15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Озерный комплекс включает три крупных озера </w:t>
      </w:r>
      <w:proofErr w:type="spellStart"/>
      <w:r>
        <w:rPr>
          <w:rFonts w:ascii="Arial" w:hAnsi="Arial" w:cs="Arial"/>
          <w:color w:val="000000"/>
        </w:rPr>
        <w:t>Мальцево</w:t>
      </w:r>
      <w:proofErr w:type="spellEnd"/>
      <w:r>
        <w:rPr>
          <w:rFonts w:ascii="Arial" w:hAnsi="Arial" w:cs="Arial"/>
          <w:color w:val="000000"/>
        </w:rPr>
        <w:t xml:space="preserve">, Окуневое (Круглое) и </w:t>
      </w:r>
      <w:proofErr w:type="spellStart"/>
      <w:r>
        <w:rPr>
          <w:rFonts w:ascii="Arial" w:hAnsi="Arial" w:cs="Arial"/>
          <w:color w:val="000000"/>
        </w:rPr>
        <w:t>Яково</w:t>
      </w:r>
      <w:proofErr w:type="spellEnd"/>
      <w:r>
        <w:rPr>
          <w:rFonts w:ascii="Arial" w:hAnsi="Arial" w:cs="Arial"/>
          <w:color w:val="000000"/>
        </w:rPr>
        <w:t>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Общие сведения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Особо охраняемая природная территория местного значения «Озерный комплекс п. Самусь» (далее Территория) расположена в окрестностях п. Самусь на территории муниципального образования городской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округ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ЗАТО Северск Томской области. Территория находится с восточной стороны от п. Самусь, с северной стороны ограничена рекой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с восточной стороны - территориальной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границей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ЗАТО Северск и автодорогой на деревню Петропавловка, с южной стороны - автодорогой Томск-Самусь до въезда в п. Самусь, с западной стороны граница проходит вдоль восточной окраины п. Самусь до автодороги в деревню Орловка.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«Озерный комплекс п. Самусь» представляет собой уникальный природный комплекс, обладающий высоким рекреационным и научно-познавательным потенциалом. Он включает земли особой экологической ценности и ответственности - район размещения озерных котловин и общую </w:t>
      </w:r>
      <w:r>
        <w:rPr>
          <w:rFonts w:ascii="Arial" w:hAnsi="Arial" w:cs="Arial"/>
          <w:color w:val="000000"/>
          <w:sz w:val="19"/>
          <w:szCs w:val="19"/>
        </w:rPr>
        <w:lastRenderedPageBreak/>
        <w:t>водосборную площадь озерного комплекса и является территорией с живописным рельефом и высокими пейзажными достоинствами.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Озерный комплекс включает три крупных озера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Окуневое (Круглое)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 Озера представляют единую гидрологическую систему, связанную естественным поверхностным стоком в направлении гравитационного переноса. В рельефе они располагаются ярусами (рис. 1).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3352800"/>
            <wp:effectExtent l="0" t="0" r="0" b="0"/>
            <wp:docPr id="7" name="Рисунок 7" descr="https://seversknet.ru/ecology/oopt/obshie_svedenia/graf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versknet.ru/ecology/oopt/obshie_svedenia/grafi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/>
        <w:t>Рис. 1. Гипсометрический профиль озерного комплекса в районе п. Самусь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Озеро Круглое западным берегом вплотную примыкает к п. Самусь. Озеро округлой формы, площадью около 20 га. Со всех сторон озеро окружено соснами. Берега изрезаны слабо, вокруг озера выражены песчаные пляжи (рис. 2). Ранее, в многоводные годы, эти участки пляжа были под водой. В настоящий момент озеро обмелело и обсохло, площадь водной поверхности сократилась почти в 1,5 раза. В прибрежье от уреза до 1,5 м распространены песчаные грунты в разной степени заиления (от чистых песков до сильно заиленных). Озеро бессточное, пресное, с максимальной глубиной 3 м. Прозрачность небольшая, активная реакция среды нейтральная (рН=7,0-7,11). Дно в значительной степени выстлано сероводородными илами, берега – в различной степени переработанным песчаником. Водная растительность выражена слабо, отдельными участками, и представлена осокой, стрелолистом, кубышкой,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водокрасом</w:t>
      </w:r>
      <w:proofErr w:type="spellEnd"/>
      <w:r>
        <w:rPr>
          <w:rFonts w:ascii="Arial" w:hAnsi="Arial" w:cs="Arial"/>
          <w:color w:val="000000"/>
          <w:sz w:val="19"/>
          <w:szCs w:val="19"/>
        </w:rPr>
        <w:t>, гречихой земноводной.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650"/>
        <w:gridCol w:w="4650"/>
      </w:tblGrid>
      <w:tr w:rsidR="009C4F1C" w:rsidTr="009C4F1C">
        <w:trPr>
          <w:tblCellSpacing w:w="0" w:type="dxa"/>
        </w:trPr>
        <w:tc>
          <w:tcPr>
            <w:tcW w:w="0" w:type="auto"/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47"/>
                <w:szCs w:val="147"/>
              </w:rPr>
            </w:pPr>
            <w:r>
              <w:rPr>
                <w:rFonts w:ascii="Arial" w:hAnsi="Arial" w:cs="Arial"/>
                <w:noProof/>
                <w:color w:val="000000"/>
                <w:sz w:val="147"/>
                <w:szCs w:val="147"/>
                <w:lang w:eastAsia="ru-RU"/>
              </w:rPr>
              <w:lastRenderedPageBreak/>
              <w:drawing>
                <wp:inline distT="0" distB="0" distL="0" distR="0">
                  <wp:extent cx="2857500" cy="1828800"/>
                  <wp:effectExtent l="0" t="0" r="0" b="0"/>
                  <wp:docPr id="6" name="Рисунок 6" descr="https://seversknet.ru/ecology/oopt/obshie_svedenia/ozer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eversknet.ru/ecology/oopt/obshie_svedenia/ozer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47"/>
                <w:szCs w:val="147"/>
              </w:rPr>
            </w:pPr>
            <w:r>
              <w:rPr>
                <w:rFonts w:ascii="Arial" w:hAnsi="Arial" w:cs="Arial"/>
                <w:noProof/>
                <w:color w:val="000000"/>
                <w:sz w:val="147"/>
                <w:szCs w:val="147"/>
                <w:lang w:eastAsia="ru-RU"/>
              </w:rPr>
              <w:drawing>
                <wp:inline distT="0" distB="0" distL="0" distR="0">
                  <wp:extent cx="2857500" cy="1876425"/>
                  <wp:effectExtent l="0" t="0" r="0" b="9525"/>
                  <wp:docPr id="5" name="Рисунок 5" descr="https://seversknet.ru/ecology/oopt/obshie_svedenia/ozer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eversknet.ru/ecology/oopt/obshie_svedenia/ozer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47"/>
                <w:szCs w:val="147"/>
              </w:rPr>
            </w:pPr>
            <w:r>
              <w:rPr>
                <w:rFonts w:ascii="Arial" w:hAnsi="Arial" w:cs="Arial"/>
                <w:noProof/>
                <w:color w:val="000000"/>
                <w:sz w:val="147"/>
                <w:szCs w:val="147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4" name="Рисунок 4" descr="https://seversknet.ru/ecology/oopt/obshie_svedenia/ozero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eversknet.ru/ecology/oopt/obshie_svedenia/ozero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47"/>
                <w:szCs w:val="147"/>
              </w:rPr>
            </w:pPr>
            <w:r>
              <w:rPr>
                <w:rFonts w:ascii="Arial" w:hAnsi="Arial" w:cs="Arial"/>
                <w:noProof/>
                <w:color w:val="000000"/>
                <w:sz w:val="147"/>
                <w:szCs w:val="147"/>
                <w:lang w:eastAsia="ru-RU"/>
              </w:rPr>
              <w:drawing>
                <wp:inline distT="0" distB="0" distL="0" distR="0">
                  <wp:extent cx="2857500" cy="1828800"/>
                  <wp:effectExtent l="0" t="0" r="0" b="0"/>
                  <wp:docPr id="3" name="Рисунок 3" descr="https://seversknet.ru/ecology/oopt/obshie_svedenia/ozero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eversknet.ru/ecology/oopt/obshie_svedenia/ozero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4F1C" w:rsidRDefault="009C4F1C" w:rsidP="009C4F1C">
      <w:pPr>
        <w:pStyle w:val="a3"/>
        <w:spacing w:line="360" w:lineRule="atLeast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Рис. 2. Виды озера Круглое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Озеро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или Большое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находится в 1-ом км от п. Самусь, имеет округлую форму и площадь около 30 га. Вокруг озера смешанный лес (сосны, березы). Берега пологие, рельеф дна плоский. Грунт песчаный, реже галечный. Глубинная часть озера занята жидкими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мелкодетритными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илами (типа сапропели). Грунты центральной части озера с максимальными глубинами имеют запах сероводорода. Водная растительность в озере развита слабо и только локальными участками. Состав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макрофитов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тот же, что и в озере Круглом.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Озеро пресное, в него впадает ручей, вытекающий из озера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 Максимальная глубина в летний период 2,5-3,0 м. Активная реакция среды нейтральная (рН=7,0-7,1).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 запада от озера Большое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располагается озеро Малое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В весенний период озера связаны небольшими переливами, в меженный период они расчленяются перешейком шириной до 30 метров. Площадь озера Малое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составляет около 5 га. Максимальная глубина около 3 м, преобладающие глубины равны 1,5-2,0 м. Основные грунты – жидкие илы, лишь в прибрежье встречаются узкой полоской пески с детритом. Водная растительность развита слабо и только вдоль береговой зоны. Цвет воды темно-желтый, прозрачность в июле составляет 60 см.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Озеро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находится в 4-х километрах от п. Самусь (рис. 3). Это самое крупное озеро в данной системе, общая площадь водного зеркала около 72 га. Северо-восточная, восточная и юго-восточная </w:t>
      </w:r>
      <w:r>
        <w:rPr>
          <w:rFonts w:ascii="Arial" w:hAnsi="Arial" w:cs="Arial"/>
          <w:color w:val="000000"/>
          <w:sz w:val="19"/>
          <w:szCs w:val="19"/>
        </w:rPr>
        <w:lastRenderedPageBreak/>
        <w:t xml:space="preserve">часть берега – верховые болота, откуда идет сток в озеро. В западной части имеется сток в озеро Б.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Максимальная глубина озера около 3-х метров, преобладающие глубины – 2-2,7 м. Прибрежная зона выражена слабо: узкой полоской до 10 м. Здесь распространены в разной степени заиленные грунты с детритом. На южном и северном берегах имеются небольшие выходы чистого песка в виде небольших заливчиков. Большая часть дна озера занята жидкими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мелкодетритными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илами, имеющими запах сероводорода. Уже на расстоянии 15 м от берега начинается сероводородная зона. Зарастание озера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макрофитами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незначительное. Водная растительность представлена рдестами, стрелолистом, кубышками и распространена только в прибрежье. У уреза воды наиболее распространены осоки и в меньшей мере – рогоз. Прибрежная часть озера значительно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закаряжена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 Цвет воды – желто-коричневый, прозрачность до 1,5 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4286250" cy="2724150"/>
            <wp:effectExtent l="0" t="0" r="0" b="0"/>
            <wp:docPr id="2" name="Рисунок 2" descr="https://seversknet.ru/ecology/oopt/obshie_svedenia/ozero%20Jako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eversknet.ru/ecology/oopt/obshie_svedenia/ozero%20Jakov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Рис. 3. Вид на озеро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Рельеф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Озерный комплекс в окрестностях п. Самусь располагается на междуречье малых притоков реки Томь –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В географическом отношении эта территория является частью прикраевой зоны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Западно-Сибирской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равнины, специфика которой определяет природные особенности территории озерного комплекса, его генезис и характер естественного развития.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Все формы рельефа, развитые в пределах рассматриваемой территории, сформировались в четвертичный период в результате деятельности речной сети под непосредственным влиянием последовательного изменения климата, связанного с периодами оледенения и межледниковых эпох. Немаловажное значение на формирование рельефа оказали тектонические движения и современные геологические процессы. Рельеф района сформирован сочетанием аккумулятивных и денудационных равнин.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lastRenderedPageBreak/>
        <w:t xml:space="preserve">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наиболее хорошо выражен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надпойменно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-террасовый тип рельефа и склоны водораздельной равнины. Основную площадь здесь занимает вторая надпойменная терраса реки Томь. Ширина террасы на этом участке около 12 км. Поверхность ее слабо наклонена в сторону Томи. Абсолютные отметки колеблются от 80 до 100 м. Микрорельеф поверхности плоский, плоско-западинный, местами холмисто-грядовый. Поверхность террасы в расширенной тыловой части сильно заболочена. Здесь более характерен плоский, плоско-западинный рельеф. Внешняя часть террасы сужена, более хорошо дренируется. Здесь более характерен холмисто-грядовый рельеф. И здесь в более выраженных депрессиях рельефа сформировался и сохранился комплекс озер.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Третья надпойменная терраса реки Томь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представлена небольшим фрагментом в юго-восточной части. Поверхность террасы наклонная, слабо расчленена логами и балками. Абсолютные отметки варьируются от 100 до 120 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Наклонная поверхность третьей надпойменной террасы смыкается со склонами водораздельной равнины. Они сильно расчленены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сденудированны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долинами малых рек и логов в периферийной части, образуя холмисто-увалистый рельеф. Абсолютные отметки резко нарастают (на рассматриваемом участке от 120 до 170 м), вследствие чего господствующими в рельефе становятся сильно покатые, местами крутые склоны.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Климат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Климат рассматриваемого района относится к континентальному типу с теплым летом и холодной зимой и равномерным увлажнением.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Равнинность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рельефа и открытость территории краевой части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Западно-Сибирской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равнины с севера на юг способствуют свободному проникновению воздушных масс, как из Арктики, так и из Средней Азии. Это является причиной резких изменений всех элементов погоды в сравнительно короткие периоды времени.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годовом климатическом цикле выделяются четыре сезона года: зима, весна, лето и осень. Зима начинается в последних числах октября – начале ноября и кончается во второй половине марта. Лето в среднем по области начинается со второй половины мая и кончается в первой половине сентября.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Амплитуда среднемесячной температуры воздуха между январем и июлем составляет 410С, а с учетом абсолютного минимума и максимума 980С. Среднегодовая температура –0,60С. Самым холодным месяцем является январь (среднемесячная температура воздуха –19,20С). Самый теплый месяц – июль. В этот период устанавливается относительно устойчивая среднемесячная температура 17-180С. Безморозный период составляет 102-125 дней.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По количеству атмосферных осадков большая часть территории Томской области относится к зоне достаточного и избыточного увлажнения. Наибольшее месячное количество осадков приходится на июнь, июль или август, наименьшее – на февраль. В общем, на территории области выпадает в </w:t>
      </w:r>
      <w:r>
        <w:rPr>
          <w:rFonts w:ascii="Arial" w:hAnsi="Arial" w:cs="Arial"/>
          <w:color w:val="000000"/>
          <w:sz w:val="19"/>
          <w:szCs w:val="19"/>
        </w:rPr>
        <w:lastRenderedPageBreak/>
        <w:t>среднем 450-500 мм осадков в год. В отдельные годы количество осадков достигает 600 мм. Снеговой покров устанавливается в конце октября - начале ноября и продолжается до последней декады апреля. Высота снежного покрова 50-60 см.</w:t>
      </w:r>
      <w:r>
        <w:rPr>
          <w:rFonts w:ascii="Arial" w:hAnsi="Arial" w:cs="Arial"/>
          <w:color w:val="000000"/>
          <w:sz w:val="19"/>
          <w:szCs w:val="19"/>
        </w:rPr>
        <w:br/>
        <w:t>Рассматриваемый район располагается в зоне преобладания ветров южного и юго-западного направлений. Средние скорости ветра составляют 2-5 м/с, иногда до 15 м/с. В зимний период бывают метели (особенно в декабре, январе, марте).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Водные ресурсы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Реки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в междуречье которых сформировался озерный комплекс в окрестностях п. Самусь, являются правыми притоками реки Томь и впадают в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Кижировскую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протоку. Эти реки относятся к равнинному типу, который характеризуется смешанным снеговым, дождевым и грунтовым питанием. Их долины с узкими и неглубокими сильно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меандрирующими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заболоченными руслами имеют типичный облик таежных рек. По данным областной инспекции рыбоохраны площадь водосборного бассейна р.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составляет 5,05 тыс. га, р.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– 6,50 тыс. га.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На междуречье р.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р.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находятся шесть озер. Одно озеро имеет искусственное происхождение и расположено по соседству с озером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Все озера в окрестностях п. Самусь приурочены к поверхности второй надпойменной террасы реки Томь. Большинство озер имеют округлую форму, что подтверждают небольшие различия в значениях максимальной ширины и длины акватории. Озера существенно различаются по своим размерам. Площадь водного зеркала варьируется в достаточно широком диапазоне – от 0,63 га у безымянного озера по соседству с озером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до 74,75 га у самого озера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(табл.1).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Все озера тяготеют к понижениям рельефа, вблизи озер находится деревня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Семиозерки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>, название которой указывает на некогда, вероятно, более широкое распространение озер в этой местности. Обилие округлых и вытянутых в направлении поверхностного стока заболоченных депрессий аналогичной морфологии свидетельствует о возможном естественном зарастании и заболачивании отдельных озер в недалеком прошлом.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Озера представляют единую гидрологическую систему, связанную естественным стоком в направлении гравитационного переноса. В рельефе они располагаются ярусами (рис. 1). Господствующее положение занимает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 абсолютными отметками уреза воды 87,2 м. Это озеро является первым накопителем воды, стекающей с поверхностным стоком с поверхности выше лежащих уровней второй надпойменной террасы реки Томь и склонов водораздельной равнины. Благодаря естественному дренажу оно подпитывает озера среднего уровня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Митрево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lastRenderedPageBreak/>
        <w:t>Таблица 1</w:t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Style w:val="a5"/>
          <w:rFonts w:ascii="Arial" w:hAnsi="Arial" w:cs="Arial"/>
          <w:color w:val="000000"/>
          <w:sz w:val="19"/>
          <w:szCs w:val="19"/>
        </w:rPr>
        <w:t xml:space="preserve">Морфометрическая характеристика озер на междуречье </w:t>
      </w:r>
      <w:proofErr w:type="spellStart"/>
      <w:r>
        <w:rPr>
          <w:rStyle w:val="a5"/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Style w:val="a5"/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Style w:val="a5"/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Style w:val="a5"/>
          <w:rFonts w:ascii="Arial" w:hAnsi="Arial" w:cs="Arial"/>
          <w:color w:val="000000"/>
          <w:sz w:val="19"/>
          <w:szCs w:val="19"/>
        </w:rPr>
        <w:t xml:space="preserve"> в окрестностях поселка Самусь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17"/>
        <w:gridCol w:w="2983"/>
        <w:gridCol w:w="1030"/>
        <w:gridCol w:w="1198"/>
        <w:gridCol w:w="2411"/>
      </w:tblGrid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Название озера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Урез воды (абсолютные отметки, 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Длина, км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br/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max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Ширина, км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br/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max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Площадь водного зеркала, га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</w:rPr>
              <w:t>Яково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87,2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1,34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74,75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Озеро без названия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0,63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9"/>
                <w:szCs w:val="19"/>
              </w:rPr>
              <w:t>Мальцево</w:t>
            </w:r>
            <w:proofErr w:type="spellEnd"/>
            <w:r>
              <w:rPr>
                <w:rFonts w:ascii="Arial" w:hAnsi="Arial" w:cs="Arial"/>
                <w:color w:val="000000"/>
                <w:sz w:val="19"/>
                <w:szCs w:val="19"/>
              </w:rPr>
              <w:br/>
              <w:t>(</w:t>
            </w:r>
            <w:proofErr w:type="gramEnd"/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Б. </w:t>
            </w: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</w:rPr>
              <w:t>Мальцево</w:t>
            </w:r>
            <w:proofErr w:type="spellEnd"/>
            <w:r>
              <w:rPr>
                <w:rFonts w:ascii="Arial" w:hAnsi="Arial" w:cs="Arial"/>
                <w:color w:val="000000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28,75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Озеро без </w:t>
            </w:r>
            <w:proofErr w:type="gramStart"/>
            <w:r>
              <w:rPr>
                <w:rFonts w:ascii="Arial" w:hAnsi="Arial" w:cs="Arial"/>
                <w:color w:val="000000"/>
                <w:sz w:val="19"/>
                <w:szCs w:val="19"/>
              </w:rPr>
              <w:t>названия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br/>
              <w:t>(</w:t>
            </w:r>
            <w:proofErr w:type="gramEnd"/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М. </w:t>
            </w: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</w:rPr>
              <w:t>Мальцево</w:t>
            </w:r>
            <w:proofErr w:type="spellEnd"/>
            <w:r>
              <w:rPr>
                <w:rFonts w:ascii="Arial" w:hAnsi="Arial" w:cs="Arial"/>
                <w:color w:val="000000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83,8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2,75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</w:rPr>
              <w:t>Митрево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3,75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Окуневое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br/>
              <w:t>(Круглое)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0,5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23,25</w:t>
            </w:r>
          </w:p>
        </w:tc>
      </w:tr>
    </w:tbl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Перепад высот от уреза воды в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(87,2 м) до уреза воды в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выражен достаточно хорошо и составляет 3 м, благоприятствуя естественной подпитке этого озера из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Условия для сброса воды из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в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Митрево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менее благоприятны. Перепад высот между ними составляет всего 1,2 м. Собственный водосбор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слабо выражен, и поверхность его сильно трансформирована человеком, что негативно отражается на условиях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обводненности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озер, лежащих в нижних ярусах рельефа.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Водосборная площадь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сильно пострадала в результате устройства в последние годы мичуринских участков и освоения территории под огороды. Огороды располагаются в самых уязвимых и экологически значимых местах водосбора – как непосредственно вдоль бровки поймы озера, так и на заболоченных участках, сток с которых принимал участие в подпитке озера. Хозяйственное освоение водосбора оказывает негативное влияние и на качество воды в озере. Происходит смыв перепаханного слоя почвы и загрязнение воды органическими веществами и минеральными удобрениями.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Подчиненное положение в рельефе занимает оз. Окуневое с абсолютными отметками зеркала 79,1 м. Перепад высот между ним и соседним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Митрево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составляет 3,9 м и, таким образом, имеет максимальное значение по сравнению с другими, рядом располагающимися озерами. Это озеро является заключительным звеном последовательного сброса воды из озер выше лежащих уровней. Однако в настоящее время его постоянная связь с соседним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Митрево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утрачена, также как утрачена возможность сброса избыточной воды в р. Томь. Учитывая зависимое положение этого озера и </w:t>
      </w:r>
      <w:r>
        <w:rPr>
          <w:rFonts w:ascii="Arial" w:hAnsi="Arial" w:cs="Arial"/>
          <w:color w:val="000000"/>
          <w:sz w:val="19"/>
          <w:szCs w:val="19"/>
        </w:rPr>
        <w:lastRenderedPageBreak/>
        <w:t>большую роль в его питании поверхностного стока, необходимо особое внимание уделить регулированию хозяйственного использования водосборного бассейна всего озерного комплекса. Особенно это касается водосборных поверхностей озер среднего уровня, наиболее затронутых хозяйственной деятельностью.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Подземные воды на исследуемой территории приурочены к рыхлым отложениям мезозоя и кайнозоя. Условия залегания водоносных горизонтов и уровней грунтовых вод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при небольшой глубине озерных котловин сформировавшихся здесь озер указывают на небольшую роль в питании озер грунтовых вод. Большое значение для питания озер в этом районе имеют болотные воды. Болота, широко распространенные в тыловой части второй надпойменной террасы реки Томь, вплотную подступают к оз.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Яково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На озерах среднего и нижнего яруса роль болотного питания ослаблена в результате антропогенного нарушения и сокращения, небольших по площади прилегающих болотных угодий. Все это говорит о необходимости организации рационального использования территории в окрестностях озер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>, включая неудобные для традиционного хозяйственного освоения болотные земли.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</w:p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Почвенный покров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представляет собой слабоволнистую слабо дренированную и сильно заболоченную равнину с абсолютными отметками, колеблющимися от 70 до 172 м. Переувлажнению почв способствует значительное количество осадков (до 500-550 мм) при недостаточной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теплообеспеченности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низкой величине испарения. В таких условиях одновременно могут проявляться болотный и подзолистый процессы почвообразования.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почвенном покрове междуречья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выделяется четыре типа почв: подзолистые, болотно-подзолистые, болотные верховые торфяные, пойменные.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Литологический состав поверхностных отложений (рис. 4), условия увлажнения, характер растительности определяют господство на изучаемой территории дерново-подзолистого подтипа подзолистых почв, формирование которого связано с процессами интенсивного выщелачивания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оподзоливания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Почвообразующими породами дерново-подзолистых почв являются пески и супеси. Для них характерно наличие фракции песка 1-1,05 мм, которая в отдельных случаях достигает 78-79%. Характерна кислая реакция почвенного раствора. Основными признаками является глубинная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глееватость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связанная в первую очередь со слабой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дренированностью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территории и длительным ее промерзанием.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Для подтипа дерново-подзолистых почв характерно наличие подзолистого горизонта, четкое обособление гумусового горизонта с содержанием гумуса 2-4%. Гумусовый горизонт этих почв имеет </w:t>
      </w:r>
      <w:r>
        <w:rPr>
          <w:rFonts w:ascii="Arial" w:hAnsi="Arial" w:cs="Arial"/>
          <w:color w:val="000000"/>
          <w:sz w:val="19"/>
          <w:szCs w:val="19"/>
        </w:rPr>
        <w:lastRenderedPageBreak/>
        <w:t xml:space="preserve">светло-серый и белесый оттенок. Мощность его колеблется от 10 до 30 см. Элювиальный горизонт сильно осветлен и имеет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буровато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-белесую окраску.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целом дерново-подзолистые почвы характеризуются низким содержанием фосфора (5-6 мг на 100 г почвы) как в естественном (сенокос, пастбище, лес), так и в окультуренном (пашня) состоянии; низким содержанием калия (5-6 мг на 100 г почвы). Для получения высоких урожаев сельскохозяйственных культур требуется внесение повышенных доз калийных и особенно фосфорных удобрений. Важным агротехническим мероприятием является увеличение пахотного горизонта на 2-3 см с обязательным внесением органических удобрений. Требующаяся агротехника возделывания этих почв противоречит условиям оптимального использования озерных котловин. При функционировании мичуринских и огородных комплексов в окрестностях озера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Мальцево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такая агротехника может резко ухудшить качество воды в этом озере.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Болотные верховые торфяные почвы формируются в условиях застойного увлажнения под покровом влаголюбивой растительности. Неполное разложение отмирающих растительных остатков, происходящее в теплый период года, и накопление этих остатков приводит к процессам торфообразования.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Болотные верховые торфяные на глубоких торфах почвы широко распространены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. Они формируются в депрессиях второй надпойменной террасы Томи под специфической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олиготрофной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растительностью (сфагновые мхи, пушица, полукустарники, редкие угнетенные сосны), а также на расширенных плоских</w:t>
      </w:r>
    </w:p>
    <w:p w:rsidR="009C4F1C" w:rsidRDefault="009C4F1C" w:rsidP="009C4F1C">
      <w:pPr>
        <w:pStyle w:val="a3"/>
        <w:spacing w:line="360" w:lineRule="atLeast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3810000" cy="4733925"/>
            <wp:effectExtent l="0" t="0" r="0" b="9525"/>
            <wp:docPr id="9" name="Рисунок 9" descr="https://seversknet.ru/ecology/oopt/pochva/k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eversknet.ru/ecology/oopt/pochva/kart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6667500" cy="3324225"/>
            <wp:effectExtent l="0" t="0" r="0" b="9525"/>
            <wp:docPr id="8" name="Рисунок 8" descr="https://seversknet.ru/ecology/oopt/pochva/lege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eversknet.ru/ecology/oopt/pochva/legend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9"/>
          <w:szCs w:val="19"/>
        </w:rPr>
        <w:br/>
        <w:t>Рис. 4. Геологическая карта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участках днища долины реки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в ее среднем течении под пологом сырых полидоминантных темнохвойных лесов. Мощность торфяной залежи составляет более 200 см.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lastRenderedPageBreak/>
        <w:t xml:space="preserve">Торф очень низкой зольности (13,2-14,2%) и с очень низким запасом питательных веществ. Этот торф нельзя в чистом виде использовать в качестве удобрений, т.к. он обладает рядом отрицательных химических свойств: имеет очень кислую реакцию почвенного раствора (рН=2,9), что будет подкислять уже кислые почвы окрестных земель, и очень беден питательными веществами. В то же время болотные угодья, где развиты глубокие верховые торфяники,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имеют особое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средорегулирующее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значение и подлежат сохранению как области накопления поверхностной влаги, поддерживающие уровень воды в местных озерах.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Все типы почв, представленные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>, характеризуются низким естественным плодородием и являются малопригодными для хозяйственного использования в результате малого содержания гумуса, сильно кислой реакции среды, низкого содержания фосфора и калия. Агротехника возделывания таких почв требует внесения больших количеств органических и минеральных удобрений. По этой причине расширение площади сельхозугодий требует особой эколого-хозяйственной аргументации и не должно сопровождаться негативным воздействием на состояние окружающей среды и, прежде всего, на состояние водосборной поверхности озерного комплекса в окрестностях п. Самусь, изменение уровня воды в озерах и ее качество.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Растительность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b/>
          <w:bCs/>
          <w:noProof/>
          <w:color w:val="DF6407"/>
          <w:sz w:val="39"/>
          <w:szCs w:val="39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905000"/>
            <wp:effectExtent l="0" t="0" r="0" b="0"/>
            <wp:wrapSquare wrapText="bothSides"/>
            <wp:docPr id="10" name="Рисунок 10" descr="https://seversknet.ru/ecology/oopt/flora/fl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eversknet.ru/ecology/oopt/flora/flor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/>
          <w:sz w:val="19"/>
          <w:szCs w:val="19"/>
        </w:rPr>
        <w:t xml:space="preserve">Леса на территории проектируемой ООПТ отнесены к лесорастительной зоне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подтаежно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- лесостепного округа, к категории равнинных лесов.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современном растительном покрове междуречья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представлены как коренные, зональные и азональные, так и производные типы растительности.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Производная растительность в настоящее время наиболее распространена и занимает обширные площади на второй и третьей надпойменных террасах р. Томь и на склонах водораздельной равнины. Производная растительность представлена длительно-производными березовыми и осиновыми лесами и их смешанными вариантами. Главной лесообразующей породой в этом районе является осина. Береза имеет более ограниченное распространение и тяготеет к более сухим местоположениям.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Остатки коренной южно-таежной растительности смещены в долины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небольшими фрагментами сохранились в логах на расчлененных склонах водораздельной равнины. Доминирующую роль в древостое этих лесов играют ель и пихта, которым часто сопутствуют кедр и сосна. Реже и небольшими фрагментами встречаются насаждения с преобладанием кедра, приуроченные к таким же местоположениям. В долинных местоположениях темнохвойные леса часто </w:t>
      </w:r>
      <w:r>
        <w:rPr>
          <w:rFonts w:ascii="Arial" w:hAnsi="Arial" w:cs="Arial"/>
          <w:color w:val="000000"/>
          <w:sz w:val="19"/>
          <w:szCs w:val="19"/>
        </w:rPr>
        <w:lastRenderedPageBreak/>
        <w:t xml:space="preserve">представлены заболоченными вариантами,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подпологовая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растительность сформирована болотным разнотравьем.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Коренная азональная растительность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представлена сосновыми лесами и растительностью болот.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Сосновые леса изначально существовали на этой территории в наиболее дренированной и сухой внешней части второй надпойменной террасы р. Томи. В настоящее время они представлены чистыми сосновыми или смешанными с березой и осиной насаждениями. Они занимают наиболее доступную часть второй надпойменной террасы р. Томи по соседству с населенными пунктами и находятся под постоянным антропогенным воздействием, вследствие чего естественное возобновление этих лесов ослаблено. Кроме того, возобновление хвойных пород на данной территории затруднено из-за сильно развитой травяной растительности. Создание лесных культур в таких условиях требует многократных агротехнических уходов в первые годы жизни. Тенденция естественной восстановительно - возрастной динамики в условиях ООПТ заключается в замене производных лиственных формаций на коренные хвойные. Большое развитие на этой территории производной растительности обуславливает относительно молодой возраст лесных насаждений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 По данным материалов лесоустройства (Проект…,1989; План…, 1987; Перспективный план…,1990), средний возраст лесов в рассматриваемом районе составляет 95,3 лет. В хвойных насаждениях он, соответственно, несколько выше и составляет 122,4 года. В целом средний возраст хвойных насаждений варьируется от 100,9 лет у ели до 140 лет у лиственницы. Средний возраст лиственных пород составляет 57,3 года, в том числе для березовых насаждений – 56,6 года, для осиновых насаждений – 57,9 года.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К производным типам растительности на междуречье рек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Камышки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Самуськи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относятся также все луга, используемые в настоящее время как сенокосы, и пастбища. Все представленные на территории луга следует считать скорее третичными, чем вторичными, т.к. большая часть массивов лугов возникла на месте вторичных мелколиственных лесов в результате регулярного сенокошения или пастьбы скота.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Мелкие фрагменты луговой растительности среди лесных угодий представлены разнотравно-злаковыми лугами и используются местным населением для сенокошения. Более крупные массивы лугов, используемых как сенокосы и пастбища, сосредоточены вблизи населенных пунктов и животноводческих комплексов.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При пастбищной нагрузке из травостоя лесов и сенокосов в первую очередь выпадают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крупнотравные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малоустойчивые к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вытаптыванию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виды разнотравья, быстро внедряются дерновинные злаки, разрастаются не поедаемые и ядовитые виды. Видовой состав травостоя зависит от характера увлажнения. В хорошо увлажненных местах основу его составляют полевица гигантская, а сопутствуют ей щучка, мятлик болотный, овсяница луговая, лисохвост,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чимерица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ежа, лапчатка гусиная, подорожник большой, тысячелистник и другие. В сухих местообитаниях травостой формируется на основе мятлика </w:t>
      </w:r>
      <w:r>
        <w:rPr>
          <w:rFonts w:ascii="Arial" w:hAnsi="Arial" w:cs="Arial"/>
          <w:color w:val="000000"/>
          <w:sz w:val="19"/>
          <w:szCs w:val="19"/>
        </w:rPr>
        <w:lastRenderedPageBreak/>
        <w:t>лугового. Из сопутствующих видов наиболее обычны тысячелистник, пырей, тимофеевка, подорожник средний, клевер ползучий, клевер луговой, нередко тмин, василек, репейник и другие.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Растительный покров является одним из важных компонентов ландшафта. По его структуре, составу, строению отдельных растительных сообществ можно судить о степени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нарушенности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ландшафта, а также об экологическом состоянии окружающей среды в целом.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Животный мир</w:t>
      </w:r>
    </w:p>
    <w:p w:rsidR="009C4F1C" w:rsidRDefault="009C4F1C" w:rsidP="009C4F1C">
      <w:pPr>
        <w:pStyle w:val="3"/>
        <w:rPr>
          <w:b/>
          <w:bCs/>
          <w:color w:val="000000"/>
          <w:sz w:val="32"/>
          <w:szCs w:val="32"/>
        </w:rPr>
      </w:pPr>
      <w:r>
        <w:rPr>
          <w:rStyle w:val="a5"/>
          <w:b w:val="0"/>
          <w:bCs w:val="0"/>
          <w:color w:val="000000"/>
          <w:sz w:val="32"/>
          <w:szCs w:val="32"/>
        </w:rPr>
        <w:t>Млекопитающие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пределах проектируемой особо охраняемой территории и на сопредельных участках установлено пребывание 46 видов млекопитающих, относящихся к 6 отрядам и 11 семействам, что составляет 74% всего видового разнообразия фауны зверей Томской области (табл. 2). На выделенном участке представлены все отряды млекопитающих, обитающих в Томской области. Основная часть видов относится к отрядам Насекомоядных и Грызунов и входящих в них семействам землеройковых, обыкновенных летучих мышей, мышиных,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хомякообразных</w:t>
      </w:r>
      <w:proofErr w:type="spellEnd"/>
      <w:r>
        <w:rPr>
          <w:rFonts w:ascii="Arial" w:hAnsi="Arial" w:cs="Arial"/>
          <w:color w:val="000000"/>
          <w:sz w:val="19"/>
          <w:szCs w:val="19"/>
        </w:rPr>
        <w:t>. Из отряда хищных обычны виды семейства куньих. Представители указанных семейств не отличаются крупными размерами, что позволяет им обитать на относительно небольших по площади территориях. В то же время, в пределах ООПТ и соседних участках отмечены млекопитающие средних и крупных размеров, в частности, барсук, рысь, лисица и лось. Нельзя исключать заходы волка, росомахи и бурого медведя, что наблюдалось в предыдущие годы. Достаточно богатый видовой состав объясняется значительным разнообразием природных условий.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На ООПТ и соседних участках отмечено 3 из 6 видов, внесенных в Красную книгу Томской области. Это сибирская белозубка (сем. «Землеройковые»), водяная ночница и бурый ушан (сем. «Обыкновенных летучих мышей»). Из факторов антропогенного происхождения негативное влияние на сибирскую белозубку могут иметь выжигание и выкашивание травостоя на лесных полянах, а также лесные пожары. Водяная ночница и бурый ушан могут испытывать косвенное отрицательное воздействие за счет ухудшения кормовой базы вследствие применения человеком различных ядохимикатов.</w:t>
      </w:r>
    </w:p>
    <w:p w:rsidR="009C4F1C" w:rsidRDefault="009C4F1C">
      <w:pPr>
        <w:rPr>
          <w:rStyle w:val="a5"/>
          <w:rFonts w:ascii="Arial" w:eastAsia="Times New Roman" w:hAnsi="Arial" w:cs="Arial"/>
          <w:color w:val="000000"/>
          <w:sz w:val="19"/>
          <w:szCs w:val="19"/>
          <w:lang w:eastAsia="ru-RU"/>
        </w:rPr>
      </w:pPr>
      <w:r>
        <w:rPr>
          <w:rStyle w:val="a5"/>
          <w:rFonts w:ascii="Arial" w:hAnsi="Arial" w:cs="Arial"/>
          <w:color w:val="000000"/>
          <w:sz w:val="19"/>
          <w:szCs w:val="19"/>
        </w:rPr>
        <w:br w:type="page"/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Style w:val="a5"/>
          <w:rFonts w:ascii="Arial" w:hAnsi="Arial" w:cs="Arial"/>
          <w:color w:val="000000"/>
          <w:sz w:val="19"/>
          <w:szCs w:val="19"/>
        </w:rPr>
        <w:lastRenderedPageBreak/>
        <w:t xml:space="preserve">Фаунистический состав млекопитающих </w:t>
      </w:r>
      <w:proofErr w:type="gramStart"/>
      <w:r>
        <w:rPr>
          <w:rStyle w:val="a5"/>
          <w:rFonts w:ascii="Arial" w:hAnsi="Arial" w:cs="Arial"/>
          <w:color w:val="000000"/>
          <w:sz w:val="19"/>
          <w:szCs w:val="19"/>
        </w:rPr>
        <w:t>ООПТ</w:t>
      </w:r>
      <w:proofErr w:type="gramEnd"/>
      <w:r>
        <w:rPr>
          <w:rStyle w:val="a5"/>
          <w:rFonts w:ascii="Arial" w:hAnsi="Arial" w:cs="Arial"/>
          <w:color w:val="000000"/>
          <w:sz w:val="19"/>
          <w:szCs w:val="19"/>
        </w:rPr>
        <w:t xml:space="preserve"> ЗАТО Северск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10"/>
        <w:gridCol w:w="1413"/>
        <w:gridCol w:w="1815"/>
      </w:tblGrid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Отряд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Число видов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Красная книга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br/>
              <w:t>Томской области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Насекомоядные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Рукокрылые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Зайцеобразные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Грызуны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Хищные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Парнокопытные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</w:t>
            </w:r>
          </w:p>
        </w:tc>
      </w:tr>
    </w:tbl>
    <w:p w:rsidR="009C4F1C" w:rsidRDefault="009C4F1C" w:rsidP="009C4F1C">
      <w:pPr>
        <w:rPr>
          <w:rStyle w:val="a5"/>
          <w:b w:val="0"/>
          <w:bCs w:val="0"/>
          <w:color w:val="000000"/>
          <w:sz w:val="32"/>
          <w:szCs w:val="32"/>
        </w:rPr>
      </w:pPr>
    </w:p>
    <w:p w:rsidR="009C4F1C" w:rsidRDefault="009C4F1C" w:rsidP="009C4F1C">
      <w:pPr>
        <w:pStyle w:val="3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a5"/>
          <w:b w:val="0"/>
          <w:bCs w:val="0"/>
          <w:color w:val="000000"/>
          <w:sz w:val="32"/>
          <w:szCs w:val="32"/>
        </w:rPr>
        <w:t>Птицы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пределах проектируемой особо охраняемой природной территории и на прилегающих к ней участках установлено пребывание 284 видов птиц 16 отрядов, что составляет 87% всего видового разнообразия фауны птиц Томской области (табл. 3). Наиболее полно представлены отряды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Гусеобразных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Хищных,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Ржанкообразных</w:t>
      </w:r>
      <w:proofErr w:type="spellEnd"/>
      <w:r>
        <w:rPr>
          <w:rFonts w:ascii="Arial" w:hAnsi="Arial" w:cs="Arial"/>
          <w:color w:val="000000"/>
          <w:sz w:val="19"/>
          <w:szCs w:val="19"/>
        </w:rPr>
        <w:t>, Сов и Воробьиных. На их долю приходится 239 видов или 84% орнитофауны особо охраняемой территории.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Style w:val="a5"/>
          <w:rFonts w:ascii="Arial" w:hAnsi="Arial" w:cs="Arial"/>
          <w:color w:val="000000"/>
          <w:sz w:val="19"/>
          <w:szCs w:val="19"/>
        </w:rPr>
        <w:t>По характеру обитания фауна птиц выделенной территории делится на 4 категории: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60"/>
        <w:gridCol w:w="2373"/>
      </w:tblGrid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1. Гнездящиеся – 214 (75%)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2. Пролетные – 42 (15%)</w:t>
            </w:r>
          </w:p>
        </w:tc>
      </w:tr>
      <w:tr w:rsidR="009C4F1C" w:rsidTr="009C4F1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3. Зимующие – 4 (1%)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F1C" w:rsidRDefault="009C4F1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4. Залетные – 24 (9%)</w:t>
            </w:r>
          </w:p>
        </w:tc>
      </w:tr>
    </w:tbl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Представители первой группы составляют основное ядро фауны. В нее входят регулярно гнездящиеся птицы. Большая часть из них прилетает только на период гнездования, другие после размножения ведут оседло-кочевой образ жизни, не совершая дальних перелетов. К категории «пролетных» относятся виды, которые посещают территорию только в период сезонных миграций весной и осенью, а места их гнездования лежат за пределами территории. В эту группу в основном входят представители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Гусеобразных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Ржанкообразных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(кулики и чайки). «Зимующими» являются виды, которые прилетают только в зимний период и покидающие территорию на лето. «Пролетные» и «зимующие» виды появляются регулярно, но их численность подвержена существенным межгодовым колебаниям. К </w:t>
      </w:r>
      <w:r>
        <w:rPr>
          <w:rFonts w:ascii="Arial" w:hAnsi="Arial" w:cs="Arial"/>
          <w:color w:val="000000"/>
          <w:sz w:val="19"/>
          <w:szCs w:val="19"/>
        </w:rPr>
        <w:lastRenderedPageBreak/>
        <w:t>«залетным» относятся виды, встречи которых не носят закономерного характера, как правило, их встречи случайны.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На выделенной территории преобладают виды птиц, связанные с лесными ландшафтами и водно-болотными системами. Достаточно богатый видовой состав объясняется значительным разнообразием природных условий, обусловленных контактом нескольких крупных природных образований - равнинной южной тайги, горно-таежных лесов отрогов Кузнецкого Алатау и лесостепных ландшафтов. Здесь отмечено большинство видов (34 из 41), внесенных в Красную книгу Томской области (табл. 4), а из 18 видов Красной книги России, обитающих в Томской области, установлено пребывание 15 видов. Из них к «гнездящимся» относится 9 видов, «пролетным» – 5, «зимующим» – 1 вид. Среди представителей первой группы следует выделить черного аиста, беркута, орлана-белохвоста, скопу и филина.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Основное негативное воздействие на птиц связано с трансформацией среды обитания хозяйственной деятельностью – сельскохозяйственным и промышленным производством (деградация растительности разных ярусов и усиление фактора беспокойства птиц).</w:t>
      </w:r>
    </w:p>
    <w:p w:rsidR="009C4F1C" w:rsidRDefault="009C4F1C"/>
    <w:p w:rsidR="009C4F1C" w:rsidRDefault="009C4F1C" w:rsidP="009C4F1C">
      <w:pPr>
        <w:pStyle w:val="1"/>
        <w:pBdr>
          <w:bottom w:val="single" w:sz="12" w:space="1" w:color="F68026"/>
        </w:pBdr>
        <w:rPr>
          <w:b w:val="0"/>
          <w:bCs w:val="0"/>
          <w:color w:val="DF6407"/>
          <w:sz w:val="39"/>
          <w:szCs w:val="39"/>
        </w:rPr>
      </w:pPr>
      <w:r>
        <w:rPr>
          <w:b w:val="0"/>
          <w:bCs w:val="0"/>
          <w:color w:val="DF6407"/>
          <w:sz w:val="39"/>
          <w:szCs w:val="39"/>
        </w:rPr>
        <w:t>Листовки</w:t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3981450"/>
            <wp:effectExtent l="0" t="0" r="0" b="0"/>
            <wp:docPr id="20" name="Рисунок 20" descr="https://seversknet.ru/ecology/oopt/listovki/listovk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eversknet.ru/ecology/oopt/listovki/listovka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5715000" cy="3981450"/>
            <wp:effectExtent l="0" t="0" r="0" b="0"/>
            <wp:docPr id="19" name="Рисунок 19" descr="https://seversknet.ru/ecology/oopt/listovki/listov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eversknet.ru/ecology/oopt/listovki/listovka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3981450"/>
            <wp:effectExtent l="0" t="0" r="0" b="0"/>
            <wp:docPr id="18" name="Рисунок 18" descr="https://seversknet.ru/ecology/oopt/listovki/listov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eversknet.ru/ecology/oopt/listovki/listovka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5715000" cy="3981450"/>
            <wp:effectExtent l="0" t="0" r="0" b="0"/>
            <wp:docPr id="17" name="Рисунок 17" descr="https://seversknet.ru/ecology/oopt/listovki/listovk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eversknet.ru/ecology/oopt/listovki/listovka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4038600"/>
            <wp:effectExtent l="0" t="0" r="0" b="0"/>
            <wp:docPr id="16" name="Рисунок 16" descr="https://seversknet.ru/ecology/oopt/listovki/listovk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eversknet.ru/ecology/oopt/listovki/listovka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5715000" cy="2190750"/>
            <wp:effectExtent l="0" t="0" r="0" b="0"/>
            <wp:docPr id="15" name="Рисунок 15" descr="https://seversknet.ru/ecology/oopt/listovki/listovk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eversknet.ru/ecology/oopt/listovki/listovka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4038600"/>
            <wp:effectExtent l="0" t="0" r="0" b="0"/>
            <wp:docPr id="14" name="Рисунок 14" descr="https://seversknet.ru/ecology/oopt/listovki/listovk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eversknet.ru/ecology/oopt/listovki/listovka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bookmarkStart w:id="0" w:name="_GoBack"/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5715000" cy="4038600"/>
            <wp:effectExtent l="0" t="0" r="0" b="0"/>
            <wp:docPr id="13" name="Рисунок 13" descr="https://seversknet.ru/ecology/oopt/listovki/listovk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eversknet.ru/ecology/oopt/listovki/listovka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C4F1C" w:rsidRDefault="009C4F1C" w:rsidP="009C4F1C">
      <w:pPr>
        <w:pStyle w:val="a3"/>
        <w:spacing w:line="360" w:lineRule="atLeas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5715000" cy="3219450"/>
            <wp:effectExtent l="0" t="0" r="0" b="0"/>
            <wp:docPr id="12" name="Рисунок 12" descr="https://seversknet.ru/ecology/oopt/listovki/listovk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eversknet.ru/ecology/oopt/listovki/listovka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9"/>
          <w:szCs w:val="19"/>
        </w:rPr>
        <w:br/>
      </w:r>
      <w:r>
        <w:rPr>
          <w:rFonts w:ascii="Arial" w:hAnsi="Arial" w:cs="Arial"/>
          <w:noProof/>
          <w:color w:val="000000"/>
          <w:sz w:val="19"/>
          <w:szCs w:val="19"/>
        </w:rPr>
        <w:drawing>
          <wp:inline distT="0" distB="0" distL="0" distR="0">
            <wp:extent cx="5715000" cy="3676650"/>
            <wp:effectExtent l="0" t="0" r="0" b="0"/>
            <wp:docPr id="11" name="Рисунок 11" descr="https://seversknet.ru/ecology/oopt/listovki/listovka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eversknet.ru/ecology/oopt/listovki/listovka1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F1C" w:rsidRPr="009C4F1C" w:rsidRDefault="009C4F1C" w:rsidP="009C4F1C"/>
    <w:sectPr w:rsidR="009C4F1C" w:rsidRPr="009C4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126506"/>
    <w:multiLevelType w:val="multilevel"/>
    <w:tmpl w:val="EA60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F1C"/>
    <w:rsid w:val="00303987"/>
    <w:rsid w:val="0034059D"/>
    <w:rsid w:val="009C4F1C"/>
    <w:rsid w:val="00D1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CD13D-0BBB-479D-95F3-2BECC8A4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4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F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C4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F1C"/>
    <w:rPr>
      <w:color w:val="0000FF"/>
      <w:u w:val="single"/>
    </w:rPr>
  </w:style>
  <w:style w:type="character" w:styleId="a5">
    <w:name w:val="Strong"/>
    <w:basedOn w:val="a0"/>
    <w:uiPriority w:val="22"/>
    <w:qFormat/>
    <w:rsid w:val="009C4F1C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C4F1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hyperlink" Target="http://www.seversknet.ru/oopt/anshlag.html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hyperlink" Target="http://www.seversknet.ru/oopt/anshlag.html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4247</Words>
  <Characters>24211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Fedorov</dc:creator>
  <cp:keywords/>
  <dc:description/>
  <cp:lastModifiedBy>Oleg Fedorov</cp:lastModifiedBy>
  <cp:revision>2</cp:revision>
  <dcterms:created xsi:type="dcterms:W3CDTF">2018-11-19T08:50:00Z</dcterms:created>
  <dcterms:modified xsi:type="dcterms:W3CDTF">2018-11-19T08:50:00Z</dcterms:modified>
</cp:coreProperties>
</file>