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hyperlink w:history="0" r:id="rId4" w:tooltip="&quot;Кодекс Томской области об административных правонарушениях&quot; от 26.12.2008 N 295-ОЗ (принят постановлением Государственной Думы Томской области от 18.12.2008 N 1912) (ред. от 27.12.2024) {КонсультантПлюс}">
        <w:r>
          <w:rPr>
            <w:sz w:val="20"/>
            <w:color w:val="0000ff"/>
          </w:rPr>
          <w:t xml:space="preserve">"Кодекс Томской области об административных правонарушениях" от 26.12.2008 N 295-ОЗ</w:t>
        </w:r>
      </w:hyperlink>
    </w:p>
    <w:p>
      <w:pPr>
        <w:pStyle w:val="0"/>
      </w:pPr>
      <w:r>
        <w:rPr>
          <w:sz w:val="18"/>
        </w:rPr>
        <w:t xml:space="preserve">(принят постановлением Государственной Думы Томской области от 18.12.2008 N 1912) (ред. от 27.12.2024)</w:t>
      </w:r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091&amp;n=189977&amp;dst=10000000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2025-01-30T03:55:34Z</dcterms:created>
</cp:coreProperties>
</file>