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160"/>
        <w:gridCol w:w="360"/>
        <w:gridCol w:w="1841"/>
      </w:tblGrid>
      <w:t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hideMark/>
          </w:tcPr>
          <w:p>
            <w:pPr>
              <w:ind w:right="-108" w:hanging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tabs>
          <w:tab w:val="center" w:pos="1995"/>
        </w:tabs>
        <w:spacing w:before="0"/>
        <w:ind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5" o:spid="_x0000_s1026" style="position:absolute;left:0;text-align:left;margin-left:84.7pt;margin-top:182.25pt;width:218.9pt;height:10.55pt;z-index:251657216;mso-position-horizontal-relative:page;mso-position-vertical-relative:page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">
            <v:shape id="Freeform 6" o:spid="_x0000_s1027" style="position:absolute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2jMAA&#10;AADaAAAADwAAAGRycy9kb3ducmV2LnhtbESPy2rDMBBF94H8g5hAd4mcLExxI5s8CHSVtkm7H6yp&#10;ZWKNjKTG6t9XhUKXl/s43G2T7CDu5EPvWMF6VYAgbp3uuVPwfj0tH0GEiKxxcEwKvilAU89nW6y0&#10;m/iN7pfYiTzCoUIFJsaxkjK0hiyGlRuJs/fpvMWYpe+k9jjlcTvITVGU0mLPmWBwpIOh9nb5shni&#10;Uti/nD8w3sxhPB/71+TLSamHRdo9gYiU4n/4r/2sFZTweyXfAF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X2jMAAAADaAAAADwAAAAAAAAAAAAAAAACYAgAAZHJzL2Rvd25y&#10;ZXYueG1sUEsFBgAAAAAEAAQA9QAAAIUDAAAAAA==&#10;" path="m19930,l,,,19905e" filled="f" strokeweight="0">
              <v:path arrowok="t" o:connecttype="custom" o:connectlocs="1322,0;0,0;0,19905" o:connectangles="0,0,0"/>
            </v:shape>
            <v:shape id="Freeform 7" o:spid="_x0000_s1028" style="position:absolute;left:18671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TF8AA&#10;AADaAAAADwAAAGRycy9kb3ducmV2LnhtbESPS2sCMRSF9wX/Q7iCu5rRhS2jUXwguLKtrfvL5DoZ&#10;nNwMSXTivzeFQpeH8/g4i1WyrbiTD41jBZNxAYK4crrhWsHP9/71HUSIyBpbx6TgQQFWy8HLAkvt&#10;ev6i+ynWIo9wKFGBibErpQyVIYth7Dri7F2ctxiz9LXUHvs8bls5LYqZtNhwJhjsaGuoup5uNkNc&#10;CpuP4xnj1Wy74675TH7WKzUapvUcRKQU/8N/7YNW8Aa/V/IN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lTF8AAAADaAAAADwAAAAAAAAAAAAAAAACYAgAAZHJzL2Rvd25y&#10;ZXYueG1sUEsFBgAAAAAEAAQA9QAAAIUDAAAAAA==&#10;" path="m,l19930,r,19905e" filled="f" strokeweight="0">
              <v:path arrowok="t" o:connecttype="custom" o:connectlocs="0,0;1322,0;1322,19905" o:connectangles="0,0,0"/>
            </v:shape>
            <w10:wrap anchorx="page" anchory="page"/>
          </v:group>
        </w:pic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г.Северск</w:t>
      </w:r>
    </w:p>
    <w:p>
      <w:pPr>
        <w:tabs>
          <w:tab w:val="left" w:pos="4253"/>
          <w:tab w:val="left" w:pos="439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О  бюджете  ЗАТО Северск  на </w:t>
      </w:r>
      <w:r>
        <w:rPr>
          <w:rFonts w:eastAsia="Calibri" w:cs="Times New Roman CYR"/>
          <w:sz w:val="24"/>
          <w:szCs w:val="24"/>
        </w:rPr>
        <w:t>2025</w:t>
      </w:r>
      <w:r>
        <w:rPr>
          <w:sz w:val="24"/>
          <w:szCs w:val="24"/>
        </w:rPr>
        <w:t xml:space="preserve"> год </w:t>
      </w:r>
    </w:p>
    <w:p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и на плановый период </w:t>
      </w:r>
      <w:r>
        <w:rPr>
          <w:rFonts w:eastAsia="Calibri" w:cs="Times New Roman CYR"/>
          <w:sz w:val="24"/>
          <w:szCs w:val="24"/>
        </w:rPr>
        <w:t>2026</w:t>
      </w:r>
      <w:r>
        <w:rPr>
          <w:sz w:val="24"/>
          <w:szCs w:val="24"/>
        </w:rPr>
        <w:t xml:space="preserve"> и 2027 годов</w:t>
      </w:r>
    </w:p>
    <w:p>
      <w:pPr>
        <w:spacing w:before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before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ЗАТО Северск от 29.09.2011 № 17/4 «Об утверждении Положения о бюджетном процессе в ЗАТО Северск», на основании пункта 2 статьи 27 Устава городского округа закрытого административно-территориального образования Северск Томской области, рассмотрев внесенный Администрацией ЗАТО Северск проект решения Думы ЗАТО Северск «О бюджете ЗАТО Северск на </w:t>
      </w:r>
      <w:r>
        <w:rPr>
          <w:rFonts w:eastAsia="Calibri" w:cs="Times New Roman CYR"/>
          <w:sz w:val="24"/>
          <w:szCs w:val="24"/>
        </w:rPr>
        <w:t>2025</w:t>
      </w:r>
      <w:r>
        <w:rPr>
          <w:sz w:val="24"/>
          <w:szCs w:val="24"/>
        </w:rPr>
        <w:t xml:space="preserve"> год и на плановый период </w:t>
      </w:r>
      <w:r>
        <w:rPr>
          <w:rFonts w:eastAsia="Calibri" w:cs="Times New Roman CYR"/>
          <w:sz w:val="24"/>
          <w:szCs w:val="24"/>
        </w:rPr>
        <w:t>2026</w:t>
      </w:r>
      <w:r>
        <w:rPr>
          <w:sz w:val="24"/>
          <w:szCs w:val="24"/>
        </w:rPr>
        <w:t xml:space="preserve"> и 2027 годов»,</w:t>
      </w:r>
    </w:p>
    <w:p>
      <w:pPr>
        <w:autoSpaceDE w:val="0"/>
        <w:autoSpaceDN w:val="0"/>
        <w:adjustRightInd w:val="0"/>
        <w:spacing w:before="0"/>
        <w:ind w:firstLine="709"/>
        <w:jc w:val="both"/>
        <w:outlineLvl w:val="0"/>
        <w:rPr>
          <w:sz w:val="16"/>
          <w:szCs w:val="16"/>
        </w:rPr>
      </w:pPr>
    </w:p>
    <w:p>
      <w:pPr>
        <w:autoSpaceDE w:val="0"/>
        <w:autoSpaceDN w:val="0"/>
        <w:adjustRightInd w:val="0"/>
        <w:spacing w:befor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ДУМА ЗАТО СЕВЕРСК РЕШИЛА:</w:t>
      </w:r>
    </w:p>
    <w:p>
      <w:pPr>
        <w:autoSpaceDE w:val="0"/>
        <w:autoSpaceDN w:val="0"/>
        <w:adjustRightInd w:val="0"/>
        <w:spacing w:before="0"/>
        <w:ind w:firstLine="709"/>
        <w:jc w:val="both"/>
        <w:outlineLvl w:val="0"/>
        <w:rPr>
          <w:sz w:val="16"/>
          <w:szCs w:val="16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Утвердить основные характеристики бюджета ЗАТО Северск на 2025 год:</w:t>
      </w:r>
    </w:p>
    <w:p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общий объем доходов бюджета ЗАТО Северск в сумме 5 567 897,29 тыс. руб., в том числе налоговые и неналоговые доходы в сумме 1 775 515,19 тыс. руб., безвозмездные поступления в сумме 3 792 382,10 тыс. руб., из них межбюджетные трансферты в сумме 3 792 382,10 тыс. руб.;</w:t>
      </w:r>
    </w:p>
    <w:p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общий объем расходов бюджета ЗАТО Северск в сумме 5 707 442,78 тыс. руб.;</w:t>
      </w:r>
    </w:p>
    <w:p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дефицит бюджета ЗАТО Северск в сумме 139 545,49 тыс. руб.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Утвердить основные характеристики бюджета ЗАТО Северск на 2026 год и на 2027 год: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общий объем доходов бюджета ЗАТО Северск на 2026 год в сумме 4 451 269,04 тыс. руб., в том числе налоговые и неналоговые доходы в сумме 1 884 982,64 тыс. руб., безвозмездные поступления в сумме 2 566 286,40 тыс. руб., из них межбюджетные трансферты в сумме 2 566 286,40 тыс. руб., и на 2027 год в сумме 4 537 043,79 тыс. руб., в том числе налоговые и неналоговые доходы в сумме 2 010 089,49 тыс. руб., безвозмездные поступления в сумме 2 526 954,30 тыс. руб., из них межбюджетные трансферты в сумме 2 526 954,30 тыс. руб.;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общий объем расходов бюджета ЗАТО Северск на 2026 год в сумме 4 451 269,04 тыс. руб., в том числе условно утвержденные расходы в сумме 66 008,00 тыс. руб. и на 2027 год в сумме 4 537 043,79 тыс. руб., в том числе условно утвержденные расходы в сумме 136 945,00 тыс. руб.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>Установить</w:t>
      </w:r>
      <w:r>
        <w:rPr>
          <w:rFonts w:eastAsia="Calibri" w:cs="Times New Roman CYR"/>
          <w:sz w:val="24"/>
          <w:szCs w:val="24"/>
        </w:rPr>
        <w:t xml:space="preserve"> верхний предел муниципального внутреннего долга ЗАТО Северск по состоянию на 1 января 2026 года в сумме 554 625,92 тыс. руб., в том числе верхний предел муниципального долга по муниципальным гарантиям ЗАТО Северск в сумме 0,00 тыс. руб.; верхний предел муниципального внутреннего долга ЗАТО Северск по состоянию на 1 января 2027 года в сумме 554 625,92 тыс. руб., в том числе верхний предел муниципального долга по муниципальным гарантиям ЗАТО Северск в сумме 0,00 тыс. руб.; верхний предел муниципального внутреннего долга ЗАТО Северск по состоянию на 1 января 2028 года в сумме 554 625,92 тыс. руб., в том числе верхний </w:t>
      </w:r>
      <w:r>
        <w:rPr>
          <w:rFonts w:eastAsia="Calibri" w:cs="Times New Roman CYR"/>
          <w:sz w:val="24"/>
          <w:szCs w:val="24"/>
        </w:rPr>
        <w:lastRenderedPageBreak/>
        <w:t>предел муниципального долга по муниципальным гарантиям ЗАТО Северск в сумме 0,00 тыс. руб.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бюджетные ассигнования по муниципальным гарантиям ЗАТО Северск на 2025 год и на плановый период 2026 и 2027 годов не предусмотрены.</w:t>
      </w:r>
    </w:p>
    <w:p>
      <w:pPr>
        <w:autoSpaceDE w:val="0"/>
        <w:autoSpaceDN w:val="0"/>
        <w:adjustRightInd w:val="0"/>
        <w:spacing w:before="0"/>
        <w:jc w:val="both"/>
        <w:rPr>
          <w:rFonts w:eastAsia="Calibri" w:cs="Times New Roman CYR"/>
          <w:color w:val="FF0000"/>
          <w:sz w:val="16"/>
          <w:szCs w:val="16"/>
          <w:highlight w:val="yellow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Утвердить:</w:t>
      </w: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параметры бюджета ЗАТО Северск на </w:t>
      </w:r>
      <w:r>
        <w:rPr>
          <w:rFonts w:eastAsia="Calibri" w:cs="Times New Roman CYR"/>
          <w:sz w:val="24"/>
          <w:szCs w:val="24"/>
        </w:rPr>
        <w:t>2025</w:t>
      </w:r>
      <w:r>
        <w:rPr>
          <w:sz w:val="24"/>
          <w:szCs w:val="24"/>
        </w:rPr>
        <w:t xml:space="preserve"> год согласно приложению 1, основные параметры бюджета ЗАТО Северск на плановый период 2026 и 2027 годов согласно приложению 1.1;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доходы бюджета ЗАТО Северск на 2025 год согласно приложению 2</w:t>
      </w:r>
      <w:hyperlink r:id="rId8" w:history="1"/>
      <w:r>
        <w:t>,</w:t>
      </w:r>
      <w:r>
        <w:rPr>
          <w:rFonts w:eastAsia="Calibri" w:cs="Times New Roman CYR"/>
          <w:sz w:val="24"/>
          <w:szCs w:val="24"/>
        </w:rPr>
        <w:t xml:space="preserve"> доходы бюджета ЗАТО Северск на плановый период 2026 и 2027 годов согласно </w:t>
      </w:r>
      <w:hyperlink r:id="rId9" w:history="1">
        <w:r>
          <w:rPr>
            <w:rFonts w:eastAsia="Calibri" w:cs="Times New Roman CYR"/>
            <w:sz w:val="24"/>
            <w:szCs w:val="24"/>
          </w:rPr>
          <w:t>приложению 2.1</w:t>
        </w:r>
      </w:hyperlink>
      <w:r>
        <w:rPr>
          <w:rFonts w:eastAsia="Calibri" w:cs="Times New Roman CYR"/>
          <w:sz w:val="24"/>
          <w:szCs w:val="24"/>
        </w:rPr>
        <w:t>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бюджета ЗАТО Северск по разделам и 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согласно приложению 3, распределение бюджетных ассигнований бюджета ЗАТО Северск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 на плановый период 2026 и 2027 годов согласно приложению 3.1;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</w:t>
      </w:r>
      <w:r>
        <w:rPr>
          <w:rFonts w:eastAsia="Calibri" w:cs="Times New Roman CYR"/>
          <w:sz w:val="24"/>
          <w:szCs w:val="24"/>
        </w:rPr>
        <w:t xml:space="preserve">по ведомственной структуре расходов бюджета ЗАТО Северск на 2025 год согласно </w:t>
      </w:r>
      <w:hyperlink r:id="rId10" w:history="1">
        <w:r>
          <w:rPr>
            <w:rFonts w:eastAsia="Calibri" w:cs="Times New Roman CYR"/>
            <w:sz w:val="24"/>
            <w:szCs w:val="24"/>
          </w:rPr>
          <w:t>приложению 4</w:t>
        </w:r>
      </w:hyperlink>
      <w:r>
        <w:t xml:space="preserve">, </w:t>
      </w:r>
      <w:r>
        <w:rPr>
          <w:sz w:val="24"/>
          <w:szCs w:val="24"/>
        </w:rPr>
        <w:t xml:space="preserve">распределение бюджетных ассигнований </w:t>
      </w:r>
      <w:r>
        <w:rPr>
          <w:rFonts w:eastAsia="Calibri" w:cs="Times New Roman CYR"/>
          <w:sz w:val="24"/>
          <w:szCs w:val="24"/>
        </w:rPr>
        <w:t xml:space="preserve">по ведомственной структуре расходов бюджета ЗАТО Северск на плановый период 2026 и 2027 годов согласно </w:t>
      </w:r>
      <w:hyperlink r:id="rId11" w:history="1">
        <w:r>
          <w:rPr>
            <w:rFonts w:eastAsia="Calibri" w:cs="Times New Roman CYR"/>
            <w:sz w:val="24"/>
            <w:szCs w:val="24"/>
          </w:rPr>
          <w:t>приложению 4.1</w:t>
        </w:r>
      </w:hyperlink>
      <w:r>
        <w:rPr>
          <w:rFonts w:eastAsia="Calibri" w:cs="Times New Roman CYR"/>
          <w:sz w:val="24"/>
          <w:szCs w:val="24"/>
        </w:rPr>
        <w:t>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бюджета ЗАТО Северск по программным и непрограммным направлениям деятельности на 2025 год согласно приложению 5, распределение бюджетных ассигнований бюджета ЗАТО Северск по программным и непрограммным направлениям деятельности на плановый период 2026 и 2027 годов согласно приложению 5.1;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16"/>
          <w:szCs w:val="16"/>
        </w:rPr>
      </w:pPr>
      <w:r>
        <w:rPr>
          <w:sz w:val="24"/>
          <w:szCs w:val="24"/>
        </w:rPr>
        <w:t xml:space="preserve">распределение бюджетных ассигнований бюджета ЗАТО Северск </w:t>
      </w:r>
      <w:r>
        <w:rPr>
          <w:rFonts w:eastAsia="Calibri" w:cs="Times New Roman CYR"/>
          <w:sz w:val="24"/>
          <w:szCs w:val="24"/>
        </w:rPr>
        <w:t xml:space="preserve">на осуществление бюджетных инвестиций в объекты капитального строительства на 2025 год согласно </w:t>
      </w:r>
      <w:hyperlink r:id="rId12" w:history="1">
        <w:r>
          <w:rPr>
            <w:rFonts w:eastAsia="Calibri" w:cs="Times New Roman CYR"/>
            <w:sz w:val="24"/>
            <w:szCs w:val="24"/>
          </w:rPr>
          <w:t>приложению 6</w:t>
        </w:r>
      </w:hyperlink>
      <w:r>
        <w:t xml:space="preserve">, </w:t>
      </w:r>
      <w:r>
        <w:rPr>
          <w:sz w:val="24"/>
          <w:szCs w:val="24"/>
        </w:rPr>
        <w:t xml:space="preserve">распределение бюджетных ассигнований бюджета ЗАТО Северск </w:t>
      </w:r>
      <w:r>
        <w:rPr>
          <w:rFonts w:eastAsia="Calibri" w:cs="Times New Roman CYR"/>
          <w:sz w:val="24"/>
          <w:szCs w:val="24"/>
        </w:rPr>
        <w:t xml:space="preserve">на осуществление бюджетных инвестиций в объекты капитального строительства на плановый период 2026 и 2027 годов согласно </w:t>
      </w:r>
      <w:hyperlink r:id="rId13" w:history="1">
        <w:r>
          <w:rPr>
            <w:rFonts w:eastAsia="Calibri" w:cs="Times New Roman CYR"/>
            <w:sz w:val="24"/>
            <w:szCs w:val="24"/>
          </w:rPr>
          <w:t>приложению 6.1</w:t>
        </w:r>
      </w:hyperlink>
      <w:r>
        <w:rPr>
          <w:rFonts w:eastAsia="Calibri" w:cs="Times New Roman CYR"/>
          <w:sz w:val="24"/>
          <w:szCs w:val="24"/>
        </w:rPr>
        <w:t>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бюджета ЗАТО Северск по объектам </w:t>
      </w:r>
      <w:r>
        <w:rPr>
          <w:rFonts w:eastAsia="Calibri" w:cs="Times New Roman CYR"/>
          <w:sz w:val="24"/>
          <w:szCs w:val="24"/>
        </w:rPr>
        <w:t xml:space="preserve">капитального ремонта на 2025 год согласно </w:t>
      </w:r>
      <w:hyperlink r:id="rId14" w:history="1">
        <w:r>
          <w:rPr>
            <w:rFonts w:eastAsia="Calibri" w:cs="Times New Roman CYR"/>
            <w:sz w:val="24"/>
            <w:szCs w:val="24"/>
          </w:rPr>
          <w:t>приложению 7</w:t>
        </w:r>
      </w:hyperlink>
      <w:r>
        <w:t xml:space="preserve">, </w:t>
      </w:r>
      <w:r>
        <w:rPr>
          <w:sz w:val="24"/>
          <w:szCs w:val="24"/>
        </w:rPr>
        <w:t xml:space="preserve">распределение бюджетных ассигнований бюджета ЗАТО Северск по объектам </w:t>
      </w:r>
      <w:r>
        <w:rPr>
          <w:rFonts w:eastAsia="Calibri" w:cs="Times New Roman CYR"/>
          <w:sz w:val="24"/>
          <w:szCs w:val="24"/>
        </w:rPr>
        <w:t xml:space="preserve">капитального ремонта на плановый период 2026 и 2027 годов согласно </w:t>
      </w:r>
      <w:hyperlink r:id="rId15" w:history="1">
        <w:r>
          <w:rPr>
            <w:rFonts w:eastAsia="Calibri" w:cs="Times New Roman CYR"/>
            <w:sz w:val="24"/>
            <w:szCs w:val="24"/>
          </w:rPr>
          <w:t>приложению 7.1</w:t>
        </w:r>
      </w:hyperlink>
      <w:r>
        <w:rPr>
          <w:rFonts w:eastAsia="Calibri" w:cs="Times New Roman CYR"/>
          <w:sz w:val="24"/>
          <w:szCs w:val="24"/>
        </w:rPr>
        <w:t>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бюджета ЗАТО Северск на </w:t>
      </w:r>
      <w:r>
        <w:rPr>
          <w:rFonts w:eastAsia="Calibri" w:cs="Times New Roman CYR"/>
          <w:sz w:val="24"/>
          <w:szCs w:val="24"/>
        </w:rPr>
        <w:t xml:space="preserve">приобретение, модернизацию оборудования и предметов длительного пользования ЗАТО Северск на 2025 год согласно </w:t>
      </w:r>
      <w:hyperlink r:id="rId16" w:history="1">
        <w:r>
          <w:rPr>
            <w:rFonts w:eastAsia="Calibri" w:cs="Times New Roman CYR"/>
            <w:sz w:val="24"/>
            <w:szCs w:val="24"/>
          </w:rPr>
          <w:t>приложению 8</w:t>
        </w:r>
      </w:hyperlink>
      <w:r>
        <w:t xml:space="preserve">, </w:t>
      </w:r>
      <w:r>
        <w:rPr>
          <w:sz w:val="24"/>
          <w:szCs w:val="24"/>
        </w:rPr>
        <w:t>распределение бюджетных ассигнований бюджета ЗАТО Северск на</w:t>
      </w:r>
      <w:r>
        <w:rPr>
          <w:rFonts w:eastAsia="Calibri" w:cs="Times New Roman CYR"/>
          <w:sz w:val="24"/>
          <w:szCs w:val="24"/>
        </w:rPr>
        <w:t xml:space="preserve"> приобретение, модернизацию оборудования и предметов длительного пользования ЗАТО Северск на плановый период 2026 и 2027 годов согласно </w:t>
      </w:r>
      <w:hyperlink r:id="rId17" w:history="1">
        <w:r>
          <w:rPr>
            <w:rFonts w:eastAsia="Calibri" w:cs="Times New Roman CYR"/>
            <w:sz w:val="24"/>
            <w:szCs w:val="24"/>
          </w:rPr>
          <w:t>приложению 8.1</w:t>
        </w:r>
      </w:hyperlink>
      <w:r>
        <w:rPr>
          <w:rFonts w:eastAsia="Calibri" w:cs="Times New Roman CYR"/>
          <w:sz w:val="24"/>
          <w:szCs w:val="24"/>
        </w:rPr>
        <w:t>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бюджета ЗАТО Северск, направляемых на исполнение публичных нормативных обязательств, на 2025 год согласно приложению 9, распределение бюджетных ассигнований бюджета ЗАТО Северск, направляемых </w:t>
      </w:r>
      <w:r>
        <w:rPr>
          <w:sz w:val="24"/>
          <w:szCs w:val="24"/>
        </w:rPr>
        <w:lastRenderedPageBreak/>
        <w:t>на исполнение публичных нормативных обязательств, на плановый период 2026 и 2027 годов согласно приложению 9.1;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источники финансирования дефицита бюджета ЗАТО Северск на 2025 год согласно приложению 10</w:t>
      </w:r>
      <w:r>
        <w:t>,</w:t>
      </w:r>
      <w:r>
        <w:rPr>
          <w:rFonts w:eastAsia="Calibri" w:cs="Times New Roman CYR"/>
          <w:sz w:val="24"/>
          <w:szCs w:val="24"/>
        </w:rPr>
        <w:t xml:space="preserve"> источники финансирования дефицита бюджета ЗАТО Северск на плановый период 2026 и 2027 годов согласно </w:t>
      </w:r>
      <w:hyperlink r:id="rId18" w:history="1">
        <w:r>
          <w:rPr>
            <w:rFonts w:eastAsia="Calibri" w:cs="Times New Roman CYR"/>
            <w:sz w:val="24"/>
            <w:szCs w:val="24"/>
          </w:rPr>
          <w:t>приложению 10.1</w:t>
        </w:r>
      </w:hyperlink>
      <w:r>
        <w:rPr>
          <w:rFonts w:eastAsia="Calibri" w:cs="Times New Roman CYR"/>
          <w:sz w:val="24"/>
          <w:szCs w:val="24"/>
        </w:rPr>
        <w:t>;</w:t>
      </w:r>
    </w:p>
    <w:p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программу муниципальных внутренних заимствований ЗАТО Северск на 2025 год согласно приложению 11, программу муниципальных внутренних заимствований ЗАТО Северск на плановый период 2026 и 2027 годов согласно приложению 11.1;</w:t>
      </w:r>
    </w:p>
    <w:p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- согласно приложению 12;</w:t>
      </w:r>
    </w:p>
    <w:p>
      <w:pPr>
        <w:pStyle w:val="ab"/>
        <w:rPr>
          <w:sz w:val="16"/>
          <w:szCs w:val="24"/>
        </w:rPr>
      </w:pPr>
    </w:p>
    <w:p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случаи предоставления субсидий иным некоммерческим организациям, не являющимся государственными (муниципальными) учреждениями, согласно приложению 13.</w:t>
      </w:r>
    </w:p>
    <w:p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положение об установлении дополнительных оснований для внесения изменений в сводную бюджетную роспись без внесения изменений в решение о бюджете ЗАТО Северск на 2025 год и на плановый период 2026 и 2027 годов в соответствии с приказами начальника Финансового управления Администрации ЗАТО Северск согласно приложению 14;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распределение бюджетных ассигнований бюджета ЗАТО Северск по муниципальным программам на 2025 год </w:t>
      </w:r>
      <w:r>
        <w:rPr>
          <w:sz w:val="24"/>
          <w:szCs w:val="24"/>
        </w:rPr>
        <w:t xml:space="preserve">согласно приложению 15, </w:t>
      </w:r>
      <w:r>
        <w:rPr>
          <w:rFonts w:eastAsia="Calibri" w:cs="Times New Roman CYR"/>
          <w:sz w:val="24"/>
          <w:szCs w:val="24"/>
        </w:rPr>
        <w:t xml:space="preserve">распределение бюджетных ассигнований бюджета ЗАТО Северск по муниципальным программам на плановый период 2026 и 2027 годов </w:t>
      </w:r>
      <w:r>
        <w:rPr>
          <w:sz w:val="24"/>
          <w:szCs w:val="24"/>
        </w:rPr>
        <w:t>согласно приложению 15.1;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Утвердить общий объем бюджетных ассигнований на исполнение публичных нормативных обязательств на 2025 год в сумме 14 107,00 тыс. руб. согласно приложению 9, на 2026 год в сумме 3 036,31 тыс. руб. и на 2027 год в сумме 3 036,31 тыс. руб. согласно приложению 9.1.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Утвердить объем бюджетных ассигнований дорожного фонда ЗАТО Северск на 2025 год в сумме 544 622,30 тыс. руб., на 2026 год в сумме 289 839,01 тыс. руб., на 2027 год в сумме 303 397,67 тыс. руб.</w:t>
      </w:r>
    </w:p>
    <w:p>
      <w:pPr>
        <w:pStyle w:val="ab"/>
        <w:rPr>
          <w:rFonts w:eastAsia="Calibri" w:cs="Times New Roman CYR"/>
          <w:sz w:val="16"/>
          <w:szCs w:val="24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неналоговые платежи, зачисляемые в бюджет ЗАТО Северск:</w:t>
      </w:r>
    </w:p>
    <w:p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плата за негативное воздействие на окружающую среду;</w:t>
      </w:r>
    </w:p>
    <w:p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административные штрафы за административные правонарушения в области охраны окружающей среды и природопользования;</w:t>
      </w:r>
    </w:p>
    <w:p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платежи по искам о возмещении вреда, причиненного окружающей среде вследствие нарушений обязательных требований, а также платежи, уплачиваемые при добровольном возмещении вреда, причиненного окружающей среде вследствие нарушений обязательных требований,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направляются на реализацию мероприятий, указанных в пункте 1 статьи 16.6, пункте 1 статьи 75.1 и пункте 1 статьи 78.2 Федерального закона от 10.01.2002 № 7-ФЗ «Об охране окружающей среды», проводимых на территории муниципального образования «Городской округ ЗАТО Северск Томской области» в соответствии с планом мероприятий, утвержденным исполнительным органом Томской области, осуществляющим государственное управление в области охраны окружающей среды.</w:t>
      </w:r>
    </w:p>
    <w:p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8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lastRenderedPageBreak/>
        <w:t>Установить следующий порядок использования остатков средств бюджета ЗАТО Северск на начало текущего финансового года:</w:t>
      </w:r>
    </w:p>
    <w:p>
      <w:pPr>
        <w:pStyle w:val="ab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остатки средств бюджета ЗАТО Северск на начало текущего финансового года:</w:t>
      </w:r>
    </w:p>
    <w:p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в объеме бюджетных ассигнований дорожного фонда ЗАТО Северск, не использованных в отчетном финансовом году, направляются на увеличение в текущем финансовом году бюджетных ассигнований дорожного фонда ЗАТО Северск;</w:t>
      </w:r>
    </w:p>
    <w:p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в объеме межбюджетных трансфертов, имеющих целевое назначение и не использованных в отчетном финансовом году, подлежат возврату в текущем финансовом году в областной бюджет в соответствии с действующим бюджетным законодательством;</w:t>
      </w:r>
    </w:p>
    <w:p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в объеме неиспользованных средств от поступлений неналоговых доходов, указанных в пункте 8 настоящего Решения, включая поступления сверх объемов, утвержденных в общем объеме доходов бюджета ЗАТО Северск, направляются на увеличение в текущем финансовом году бюджетных ассигнований на реализацию мероприятий, указанных в статьях 16.6, 75.1, 78.2 Федерального закона от 10.01.2002 </w:t>
      </w:r>
      <w:r>
        <w:rPr>
          <w:rFonts w:eastAsia="Calibri" w:cs="Times New Roman CYR"/>
          <w:sz w:val="24"/>
          <w:szCs w:val="24"/>
        </w:rPr>
        <w:br/>
        <w:t>№ 7-ФЗ «Об охране окружающей среды»;</w:t>
      </w:r>
    </w:p>
    <w:p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в объеме иных средств, имеющих целевое назначение в соответствии с действующим законодательством, направляются на увеличение в текущем финансовом году бюджетных ассигнований на соответствующие цели;</w:t>
      </w:r>
    </w:p>
    <w:p>
      <w:pPr>
        <w:pStyle w:val="ab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остатки средств бюджета ЗАТО Северск на начало текущего финансового года, не указанные в </w:t>
      </w:r>
      <w:hyperlink w:anchor="Par1" w:history="1">
        <w:r>
          <w:rPr>
            <w:rFonts w:eastAsia="Calibri" w:cs="Times New Roman CYR"/>
            <w:sz w:val="24"/>
            <w:szCs w:val="24"/>
          </w:rPr>
          <w:t>подпункте 1</w:t>
        </w:r>
      </w:hyperlink>
      <w:r>
        <w:rPr>
          <w:rFonts w:eastAsia="Calibri" w:cs="Times New Roman CYR"/>
          <w:sz w:val="24"/>
          <w:szCs w:val="24"/>
        </w:rPr>
        <w:t xml:space="preserve"> настоящего пункта, могут направляться:</w:t>
      </w:r>
    </w:p>
    <w:p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на покрытие временных кассовых разрывов, возникающих в ходе исполнения бюджета ЗАТО Северск в текущем финансовом году, в объеме, необходимом для их покрытия;</w:t>
      </w:r>
    </w:p>
    <w:p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на увеличение бюджетных ассигнований на оплату заключенных муниципальными казенными учреждениями от имени муниципального образования «Городской округ ЗАТО Северск Томской области» муниципальных контрактов на приобретение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 превышающем суммы остатка неиспользованных бюджетных ассигнований на указанные цели, в случаях, предусмотренных настоящим Решением;</w:t>
      </w:r>
    </w:p>
    <w:p>
      <w:pPr>
        <w:pStyle w:val="ab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остатки средств бюджета ЗАТО Северск на начало текущего финансового года в объеме не превышающем разницы между остатками, образовавшимися в связи с неполным использованием бюджетных ассигнований в ходе исполнения в отчетном финансовом году бюджета ЗАТО Северск и суммой увеличения бюджетных ассигнований, предусмотренных подпунктами 1 и 2 настоящего пункта, используются в соответствии с изменениями, вносимыми в ведомственную структуру расходов бюджета ЗАТО Северск.</w:t>
      </w:r>
    </w:p>
    <w:p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24"/>
        </w:rPr>
      </w:pPr>
    </w:p>
    <w:p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распределение расходов средств Фонда непредвиденных расходов Администрации ЗАТО Северск и Резервного фонда Администрации ЗАТО Северск по предупреждению, ликвидации чрезвычайных ситуаций и последствий стихийных бедствий отражается по соответствующим разделам и подразделам классификации расходов бюджетов исходя из отраслевой и ведомственной принадлежности.</w:t>
      </w:r>
    </w:p>
    <w:p>
      <w:pPr>
        <w:tabs>
          <w:tab w:val="left" w:pos="993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Установить, что в соответствии с </w:t>
      </w:r>
      <w:hyperlink r:id="rId19" w:history="1">
        <w:r>
          <w:rPr>
            <w:rFonts w:eastAsia="Calibri" w:cs="Times New Roman CYR"/>
            <w:sz w:val="24"/>
            <w:szCs w:val="24"/>
          </w:rPr>
          <w:t>пунктом 1 статьи 74</w:t>
        </w:r>
      </w:hyperlink>
      <w:r>
        <w:rPr>
          <w:rFonts w:eastAsia="Calibri" w:cs="Times New Roman CYR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ЗАТО Северск на обеспечение деятельности </w:t>
      </w:r>
      <w:r>
        <w:rPr>
          <w:rFonts w:eastAsia="Calibri" w:cs="Times New Roman CYR"/>
          <w:sz w:val="24"/>
          <w:szCs w:val="24"/>
        </w:rPr>
        <w:lastRenderedPageBreak/>
        <w:t>находящихся в их ведении муниципальных казенных учреждений, за счет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предоставляются при условии фактического поступления указанных доходов в бюджет ЗАТО Северск.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 предоставления указанных средств устанавливается Администрацией ЗАТО Северск.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Порядок доведения указанных бюджетных ассигнований и лимитов бюджетных обязательств до главных распорядителей средств бюджета ЗАТО Северск устанавливается Финансовым управлением Администрации ЗАТО Северск.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  <w:highlight w:val="yellow"/>
        </w:rPr>
      </w:pPr>
    </w:p>
    <w:p>
      <w:pPr>
        <w:pStyle w:val="ab"/>
        <w:numPr>
          <w:ilvl w:val="0"/>
          <w:numId w:val="12"/>
        </w:numPr>
        <w:tabs>
          <w:tab w:val="left" w:pos="568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доходы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поступившие в бюджет ЗАТО Северск сверх доходов, утвержденных настоящим решением, направляются на увеличение расходов соответствующего муниципального казенного учреждения путем внесения изменений в сводную бюджетную роспись по представлению главного распорядителя средств бюджета ЗАТО Северск без внесения изменений в настоящее Решение.</w:t>
      </w:r>
    </w:p>
    <w:p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12"/>
        </w:numPr>
        <w:tabs>
          <w:tab w:val="left" w:pos="568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из бюджета ЗАТО Северск в пределах бюджетных ассигнований и лимитов бюджетных обязательств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 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 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 в случаях, предусмотренных приложением 12, и в порядке, установленном Администрацией ЗАТО Северск.</w:t>
      </w:r>
    </w:p>
    <w:p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24"/>
        </w:rPr>
      </w:pPr>
    </w:p>
    <w:p>
      <w:pPr>
        <w:pStyle w:val="ab"/>
        <w:numPr>
          <w:ilvl w:val="0"/>
          <w:numId w:val="12"/>
        </w:numPr>
        <w:tabs>
          <w:tab w:val="left" w:pos="568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субсидии иным некоммерческим организациям, не являющимся государственными (муниципальными учреждениями), предоставляются из бюджета ЗАТО Северск в случаях, предусмотренных приложением 13, и в порядке, установленном Администрацией ЗАТО Северск.</w:t>
      </w:r>
    </w:p>
    <w:p>
      <w:pPr>
        <w:tabs>
          <w:tab w:val="left" w:pos="568"/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12"/>
        </w:numPr>
        <w:tabs>
          <w:tab w:val="left" w:pos="568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при недостижении бюджетным или автономным учреждением показателей выполнения муниципального задания на оказание муниципальных услуг (выполнение работ), характеризующих объем муниципальной услуги (работы), осуществляется возврат остатка субсидии на выполнение муниципального задания в объеме, соответствующем недостигнутым показателям муниципального задания указанным учреждением, в порядке, определяемом постановлением Администрации ЗАТО Северск.</w:t>
      </w:r>
    </w:p>
    <w:p>
      <w:pPr>
        <w:pStyle w:val="ab"/>
        <w:tabs>
          <w:tab w:val="left" w:pos="568"/>
          <w:tab w:val="left" w:pos="1134"/>
        </w:tabs>
        <w:ind w:left="0" w:firstLine="709"/>
        <w:rPr>
          <w:rFonts w:eastAsia="Calibri" w:cs="Times New Roman CYR"/>
          <w:sz w:val="16"/>
          <w:szCs w:val="24"/>
        </w:rPr>
      </w:pPr>
    </w:p>
    <w:p>
      <w:pPr>
        <w:pStyle w:val="ab"/>
        <w:numPr>
          <w:ilvl w:val="0"/>
          <w:numId w:val="12"/>
        </w:numPr>
        <w:tabs>
          <w:tab w:val="left" w:pos="568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получатели средств бюджета ЗАТО Северск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платежи:</w:t>
      </w:r>
    </w:p>
    <w:p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r>
        <w:rPr>
          <w:rFonts w:eastAsia="Calibri" w:cs="Times New Roman CYR"/>
          <w:sz w:val="24"/>
          <w:szCs w:val="24"/>
        </w:rPr>
        <w:lastRenderedPageBreak/>
        <w:t>ЗАТО Северск в соответствующем финансовом году, - по договорам (контрактам) об оказании услуг связи, о подписке на печатные издания и об их приобретении, об обучении на курсах повышения квалификации, об обеспечении участия в семинарах, конференциях, форумах, в выездных спортивных мероприятиях, о проведении экспертизы проектной документации, о приобретении авиа- и железнодорожных билетов, выполнении работ вследствие аварии, иных чрезвычайных ситуаций природного или техногенного характера, по договорам обязательного страхования гражданской ответственности владельцев транспортных средств, а также по договорам, связанным с обслуживанием муниципального долга ЗАТО Северск;</w:t>
      </w:r>
    </w:p>
    <w:p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ЗАТО Северск в соответствующем финансовом году, - по остальным договорам (контрактам), если иное не предусмотрено законодательством Российской Федерации и муниципальными правовыми актами ЗАТО Северск.</w:t>
      </w:r>
    </w:p>
    <w:p>
      <w:pPr>
        <w:tabs>
          <w:tab w:val="left" w:pos="709"/>
        </w:tabs>
        <w:autoSpaceDE w:val="0"/>
        <w:autoSpaceDN w:val="0"/>
        <w:adjustRightInd w:val="0"/>
        <w:spacing w:before="0"/>
        <w:jc w:val="both"/>
        <w:rPr>
          <w:rFonts w:eastAsia="Calibri" w:cs="Times New Roman CYR"/>
          <w:sz w:val="16"/>
          <w:szCs w:val="24"/>
        </w:rPr>
      </w:pPr>
    </w:p>
    <w:p>
      <w:pPr>
        <w:pStyle w:val="ab"/>
        <w:numPr>
          <w:ilvl w:val="0"/>
          <w:numId w:val="16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казначейскому сопровождению подлежат следующие средства:</w:t>
      </w:r>
    </w:p>
    <w:p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авансовые платежи и расчеты по муниципальным контрактам о поставке товаров, выполнении работ, оказании услуг, заключаемым в 2025 году на сумму 100 000,00 тыс. руб. и более, источником финансового обеспечения которых являются предоставляемые из бюджета ЗАТО Северск средства, за исключением случаев, когда в соответствии с Бюджетным кодексом Российской Федерации указанные средства не подлежат казначейскому сопровождению;</w:t>
      </w:r>
    </w:p>
    <w:p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авансовые платежи и расчеты по контрактам (договорам) о поставке товаров, выполнении работ, оказании услуг, заключаемым в 2025 году на сумму 100 000,00 тыс. руб. и более муниципальными бюджетными и автономными учреждениями, лицевые счета которым открыты в Управлении Федерального казначейства по Томской области, источником финансового обеспечения исполнения которых являются субсидии, предоставляемые из бюджета ЗАТО Северск в соответствии с абзацем вторым пункта 1 статьи 78.1 и статьей 78.2 Бюджетного кодекса Российской Федерации, за исключением случаев, когда в соответствии с Бюджетным кодексом Российской Федерации указанные средства не подлежат казначейскому сопровождению.</w:t>
      </w:r>
    </w:p>
    <w:p>
      <w:pPr>
        <w:autoSpaceDE w:val="0"/>
        <w:autoSpaceDN w:val="0"/>
        <w:adjustRightInd w:val="0"/>
        <w:spacing w:before="0"/>
        <w:ind w:firstLine="708"/>
        <w:jc w:val="both"/>
        <w:rPr>
          <w:rFonts w:eastAsia="Calibri" w:cs="Times New Roman CYR"/>
          <w:sz w:val="16"/>
          <w:szCs w:val="16"/>
        </w:rPr>
      </w:pPr>
    </w:p>
    <w:p>
      <w:pPr>
        <w:pStyle w:val="ab"/>
        <w:numPr>
          <w:ilvl w:val="0"/>
          <w:numId w:val="16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rFonts w:eastAsia="Calibri" w:cs="Times New Roman CYR"/>
          <w:sz w:val="24"/>
          <w:szCs w:val="24"/>
        </w:rPr>
      </w:pPr>
      <w:r>
        <w:rPr>
          <w:rFonts w:eastAsia="Calibri" w:cs="Times New Roman CYR"/>
          <w:sz w:val="24"/>
          <w:szCs w:val="24"/>
        </w:rPr>
        <w:t>Установить, что часть прибыли муниципальных унитарных предприятий ЗАТО Северск, остающаяся после уплаты налогов и иных обязательных платежей, подлежит зачислению в бюджет ЗАТО Северск в размере 10 процентов.</w:t>
      </w:r>
    </w:p>
    <w:p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16"/>
          <w:szCs w:val="24"/>
        </w:rPr>
      </w:pPr>
    </w:p>
    <w:p>
      <w:pPr>
        <w:pStyle w:val="ab"/>
        <w:numPr>
          <w:ilvl w:val="0"/>
          <w:numId w:val="16"/>
        </w:numPr>
        <w:tabs>
          <w:tab w:val="left" w:pos="709"/>
          <w:tab w:val="left" w:pos="1134"/>
        </w:tabs>
        <w:spacing w:before="0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Опубликовать решение в средстве массовой информации «Официальный бюллетень муниципальных правовых актов ЗАТО Северск» и разместить в информационно-телекоммуникационной сети «Интернет» на официальном сайте Думы ЗАТО Северск </w:t>
      </w:r>
      <w:r>
        <w:rPr>
          <w:rFonts w:cs="Times New Roman CYR"/>
          <w:color w:val="000000" w:themeColor="text1"/>
          <w:sz w:val="24"/>
          <w:szCs w:val="24"/>
        </w:rPr>
        <w:t>(</w:t>
      </w:r>
      <w:hyperlink r:id="rId20" w:history="1">
        <w:r>
          <w:rPr>
            <w:rStyle w:val="a9"/>
            <w:rFonts w:cs="Times New Roman CYR"/>
            <w:color w:val="000000" w:themeColor="text1"/>
            <w:sz w:val="24"/>
            <w:szCs w:val="24"/>
            <w:u w:val="none"/>
          </w:rPr>
          <w:t>http</w:t>
        </w:r>
        <w:r>
          <w:rPr>
            <w:rStyle w:val="a9"/>
            <w:rFonts w:cs="Times New Roman CYR"/>
            <w:color w:val="000000" w:themeColor="text1"/>
            <w:sz w:val="24"/>
            <w:szCs w:val="24"/>
            <w:u w:val="none"/>
            <w:lang w:val="en-US"/>
          </w:rPr>
          <w:t>s</w:t>
        </w:r>
        <w:r>
          <w:rPr>
            <w:rStyle w:val="a9"/>
            <w:rFonts w:cs="Times New Roman CYR"/>
            <w:color w:val="000000" w:themeColor="text1"/>
            <w:sz w:val="24"/>
            <w:szCs w:val="24"/>
            <w:u w:val="none"/>
          </w:rPr>
          <w:t>://duma-seversk.ru</w:t>
        </w:r>
      </w:hyperlink>
      <w:r>
        <w:rPr>
          <w:rFonts w:cs="Times New Roman CYR"/>
          <w:color w:val="000000" w:themeColor="text1"/>
          <w:sz w:val="24"/>
          <w:szCs w:val="24"/>
        </w:rPr>
        <w:t>)</w:t>
      </w:r>
      <w:r>
        <w:rPr>
          <w:rFonts w:cs="Times New Roman CYR"/>
          <w:sz w:val="24"/>
          <w:szCs w:val="24"/>
        </w:rPr>
        <w:t xml:space="preserve"> и на официальном сайте Администрации ЗАТО Северск (</w:t>
      </w:r>
      <w:hyperlink r:id="rId21" w:history="1">
        <w:r>
          <w:rPr>
            <w:rStyle w:val="a9"/>
            <w:rFonts w:cs="Times New Roman CYR"/>
            <w:color w:val="000000" w:themeColor="text1"/>
            <w:sz w:val="24"/>
            <w:szCs w:val="24"/>
            <w:u w:val="none"/>
          </w:rPr>
          <w:t>http</w:t>
        </w:r>
        <w:r>
          <w:rPr>
            <w:rStyle w:val="a9"/>
            <w:rFonts w:cs="Times New Roman CYR"/>
            <w:color w:val="000000" w:themeColor="text1"/>
            <w:sz w:val="24"/>
            <w:szCs w:val="24"/>
            <w:u w:val="none"/>
            <w:lang w:val="en-US"/>
          </w:rPr>
          <w:t>s</w:t>
        </w:r>
        <w:r>
          <w:rPr>
            <w:rStyle w:val="a9"/>
            <w:rFonts w:cs="Times New Roman CYR"/>
            <w:color w:val="000000" w:themeColor="text1"/>
            <w:sz w:val="24"/>
            <w:szCs w:val="24"/>
            <w:u w:val="none"/>
          </w:rPr>
          <w:t>://зато-северск.рф)</w:t>
        </w:r>
      </w:hyperlink>
      <w:r>
        <w:rPr>
          <w:rFonts w:cs="Times New Roman CYR"/>
          <w:color w:val="000000" w:themeColor="text1"/>
          <w:sz w:val="24"/>
          <w:szCs w:val="24"/>
        </w:rPr>
        <w:t>.</w:t>
      </w:r>
    </w:p>
    <w:p>
      <w:pPr>
        <w:spacing w:before="0"/>
        <w:ind w:firstLine="709"/>
        <w:jc w:val="both"/>
        <w:rPr>
          <w:color w:val="000000" w:themeColor="text1"/>
          <w:sz w:val="22"/>
          <w:szCs w:val="24"/>
        </w:rPr>
      </w:pPr>
    </w:p>
    <w:p>
      <w:pPr>
        <w:spacing w:before="0"/>
        <w:jc w:val="both"/>
        <w:rPr>
          <w:sz w:val="22"/>
          <w:szCs w:val="24"/>
          <w:highlight w:val="yellow"/>
        </w:rPr>
      </w:pPr>
    </w:p>
    <w:p>
      <w:pPr>
        <w:spacing w:before="0"/>
        <w:jc w:val="both"/>
        <w:rPr>
          <w:sz w:val="22"/>
          <w:szCs w:val="24"/>
          <w:highlight w:val="yellow"/>
        </w:rPr>
      </w:pPr>
    </w:p>
    <w:p>
      <w:pPr>
        <w:spacing w:before="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 ЗАТО Северск                                                              Мэр ЗАТО Северск</w:t>
      </w:r>
    </w:p>
    <w:p>
      <w:pPr>
        <w:spacing w:before="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Г.А.Шамин                                                                         Н.В.Диденко</w:t>
      </w:r>
      <w:r>
        <w:rPr>
          <w:noProof/>
          <w:sz w:val="24"/>
          <w:szCs w:val="24"/>
          <w:highlight w:val="yellow"/>
        </w:rPr>
        <w:pict>
          <v:rect id="Rectangle 12" o:spid="_x0000_s1031" style="position:absolute;left:0;text-align:left;margin-left:217.95pt;margin-top:-45.25pt;width:44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" strokecolor="white [3212]"/>
        </w:pict>
      </w:r>
      <w:r>
        <w:rPr>
          <w:noProof/>
          <w:sz w:val="24"/>
          <w:szCs w:val="24"/>
          <w:highlight w:val="yellow"/>
        </w:rPr>
        <w:pict>
          <v:rect id="Rectangle 11" o:spid="_x0000_s1030" style="position:absolute;left:0;text-align:left;margin-left:212.7pt;margin-top:-28.4pt;width:6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" strokecolor="white [3212]"/>
        </w:pict>
      </w:r>
    </w:p>
    <w:p>
      <w:pPr>
        <w:framePr w:w="4282" w:wrap="auto" w:hAnchor="text" w:x="1701"/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  <w:sectPr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737" w:bottom="1134" w:left="1701" w:header="624" w:footer="227" w:gutter="0"/>
          <w:pgNumType w:start="1"/>
          <w:cols w:space="708"/>
          <w:titlePg/>
          <w:docGrid w:linePitch="360"/>
        </w:sect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>
      <w:pPr>
        <w:spacing w:befor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Oval 13" o:spid="_x0000_s1029" style="position:absolute;left:0;text-align:left;margin-left:194pt;margin-top:379.4pt;width:26.8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" fillcolor="white [3212]" stroked="f"/>
        </w:pic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>
        <w:trPr>
          <w:trHeight w:val="144"/>
        </w:trPr>
        <w:tc>
          <w:tcPr>
            <w:tcW w:w="5148" w:type="dxa"/>
          </w:tcPr>
          <w:p>
            <w:pPr>
              <w:pStyle w:val="1"/>
            </w:pPr>
          </w:p>
        </w:tc>
      </w:tr>
      <w:tr>
        <w:trPr>
          <w:trHeight w:val="1055"/>
        </w:trPr>
        <w:tc>
          <w:tcPr>
            <w:tcW w:w="5148" w:type="dxa"/>
          </w:tcPr>
          <w:p>
            <w:pPr>
              <w:pStyle w:val="1"/>
            </w:pPr>
            <w:r>
              <w:t>Заместитель Мэра ЗАТО Северск</w:t>
            </w:r>
          </w:p>
          <w:p>
            <w:pPr>
              <w:pStyle w:val="1"/>
            </w:pPr>
            <w:r>
              <w:t>по экономике и финансам</w:t>
            </w:r>
          </w:p>
          <w:p>
            <w:pPr>
              <w:pStyle w:val="1"/>
            </w:pPr>
            <w:r>
              <w:t>__________________П.П.Хрячков</w:t>
            </w:r>
            <w:r>
              <w:br/>
              <w:t>«______»______________2024 г.</w:t>
            </w:r>
          </w:p>
          <w:p>
            <w:pPr>
              <w:pStyle w:val="1"/>
            </w:pPr>
          </w:p>
          <w:p>
            <w:pPr>
              <w:pStyle w:val="1"/>
            </w:pPr>
            <w:r>
              <w:t>Начальник Финансового управления</w:t>
            </w:r>
          </w:p>
          <w:p>
            <w:pPr>
              <w:pStyle w:val="1"/>
            </w:pPr>
            <w:r>
              <w:t>__________________Л.И.Овчаренко</w:t>
            </w:r>
          </w:p>
          <w:p>
            <w:pPr>
              <w:pStyle w:val="1"/>
            </w:pPr>
            <w:r>
              <w:t>«______»______________2024 г.</w:t>
            </w:r>
          </w:p>
          <w:p>
            <w:pPr>
              <w:pStyle w:val="1"/>
            </w:pPr>
          </w:p>
        </w:tc>
      </w:tr>
      <w:tr>
        <w:trPr>
          <w:trHeight w:val="1055"/>
        </w:trPr>
        <w:tc>
          <w:tcPr>
            <w:tcW w:w="5148" w:type="dxa"/>
            <w:hideMark/>
          </w:tcPr>
          <w:p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Председатель Правового комитета</w:t>
            </w:r>
          </w:p>
          <w:p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__________________Т.И.Солдатова</w:t>
            </w:r>
          </w:p>
          <w:p>
            <w:pPr>
              <w:pStyle w:val="1"/>
            </w:pPr>
            <w:r>
              <w:rPr>
                <w:color w:val="000000"/>
              </w:rPr>
              <w:t>«______»______________2024 г.</w:t>
            </w:r>
          </w:p>
        </w:tc>
      </w:tr>
      <w:tr>
        <w:trPr>
          <w:trHeight w:val="1055"/>
        </w:trPr>
        <w:tc>
          <w:tcPr>
            <w:tcW w:w="5148" w:type="dxa"/>
            <w:hideMark/>
          </w:tcPr>
          <w:p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Начальник Общего отдела</w:t>
            </w:r>
          </w:p>
          <w:p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__________________В.В.Тартышный</w:t>
            </w:r>
          </w:p>
          <w:p>
            <w:pPr>
              <w:pStyle w:val="1"/>
            </w:pPr>
            <w:r>
              <w:rPr>
                <w:color w:val="000000"/>
              </w:rPr>
              <w:t>«______»_______________2024 г.</w:t>
            </w:r>
          </w:p>
        </w:tc>
      </w:tr>
    </w:tbl>
    <w:p>
      <w:pPr>
        <w:spacing w:before="0"/>
        <w:jc w:val="both"/>
        <w:rPr>
          <w:sz w:val="24"/>
          <w:szCs w:val="24"/>
        </w:rPr>
      </w:pPr>
    </w:p>
    <w:p>
      <w:pPr>
        <w:spacing w:before="0"/>
        <w:rPr>
          <w:sz w:val="24"/>
          <w:szCs w:val="24"/>
        </w:rPr>
      </w:pPr>
      <w:bookmarkStart w:id="0" w:name="_GoBack"/>
      <w:bookmarkEnd w:id="0"/>
    </w:p>
    <w:p>
      <w:pPr>
        <w:spacing w:before="0"/>
        <w:rPr>
          <w:sz w:val="24"/>
          <w:szCs w:val="24"/>
        </w:rPr>
      </w:pPr>
    </w:p>
    <w:p>
      <w:pPr>
        <w:spacing w:before="0"/>
        <w:rPr>
          <w:sz w:val="24"/>
          <w:szCs w:val="24"/>
        </w:rPr>
      </w:pPr>
    </w:p>
    <w:p>
      <w:pPr>
        <w:spacing w:before="0"/>
        <w:rPr>
          <w:sz w:val="24"/>
          <w:szCs w:val="24"/>
        </w:rPr>
      </w:pPr>
    </w:p>
    <w:p>
      <w:pPr>
        <w:spacing w:before="0"/>
        <w:rPr>
          <w:sz w:val="24"/>
          <w:szCs w:val="24"/>
        </w:rPr>
      </w:pPr>
    </w:p>
    <w:p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</w:t>
      </w:r>
    </w:p>
    <w:p>
      <w:pPr>
        <w:spacing w:before="0"/>
        <w:rPr>
          <w:sz w:val="24"/>
          <w:szCs w:val="24"/>
        </w:rPr>
      </w:pPr>
      <w:r>
        <w:rPr>
          <w:sz w:val="24"/>
          <w:szCs w:val="24"/>
        </w:rPr>
        <w:t>Финансового управления</w:t>
      </w:r>
    </w:p>
    <w:p>
      <w:pPr>
        <w:spacing w:before="0"/>
        <w:rPr>
          <w:sz w:val="24"/>
          <w:szCs w:val="24"/>
        </w:rPr>
      </w:pPr>
      <w:r>
        <w:rPr>
          <w:sz w:val="24"/>
          <w:szCs w:val="24"/>
        </w:rPr>
        <w:t>Администрации ЗАТО Северск</w:t>
      </w:r>
    </w:p>
    <w:p>
      <w:pPr>
        <w:shd w:val="clear" w:color="auto" w:fill="FFFFFF"/>
        <w:tabs>
          <w:tab w:val="left" w:pos="787"/>
        </w:tabs>
        <w:spacing w:befor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Кириллова Ольга Николаевна </w:t>
      </w:r>
    </w:p>
    <w:p>
      <w:pPr>
        <w:tabs>
          <w:tab w:val="left" w:pos="1104"/>
        </w:tabs>
        <w:spacing w:befor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77 38 60</w:t>
      </w:r>
    </w:p>
    <w:p>
      <w:pPr>
        <w:tabs>
          <w:tab w:val="left" w:pos="1104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14.11.2024</w:t>
      </w:r>
    </w:p>
    <w:sectPr>
      <w:headerReference w:type="first" r:id="rId26"/>
      <w:pgSz w:w="11906" w:h="16838"/>
      <w:pgMar w:top="1134" w:right="737" w:bottom="1134" w:left="1701" w:header="62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8998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>
        <w:pPr>
          <w:pStyle w:val="a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left" w:pos="4678"/>
      </w:tabs>
      <w:jc w:val="right"/>
      <w:rPr>
        <w:rFonts w:ascii="Times New Roman" w:hAnsi="Times New Roman"/>
        <w:color w:val="FFFFFF" w:themeColor="background1"/>
        <w:sz w:val="24"/>
        <w:szCs w:val="24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1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color w:val="FFFFFF" w:themeColor="background1"/>
        <w:sz w:val="24"/>
        <w:szCs w:val="24"/>
      </w:rPr>
      <w:t>П</w:t>
    </w:r>
    <w:r>
      <w:rPr>
        <w:rFonts w:ascii="Times New Roman" w:hAnsi="Times New Roman"/>
        <w:sz w:val="22"/>
        <w:szCs w:val="22"/>
      </w:rPr>
      <w:t>Проект</w:t>
    </w:r>
    <w:r>
      <w:rPr>
        <w:rFonts w:ascii="Times New Roman" w:hAnsi="Times New Roman"/>
        <w:color w:val="FFFFFF" w:themeColor="background1"/>
        <w:sz w:val="22"/>
        <w:szCs w:val="22"/>
      </w:rPr>
      <w:t xml:space="preserve"> </w:t>
    </w:r>
    <w:r>
      <w:rPr>
        <w:rFonts w:ascii="Times New Roman" w:hAnsi="Times New Roman"/>
        <w:color w:val="FFFFFF" w:themeColor="background1"/>
        <w:sz w:val="24"/>
        <w:szCs w:val="24"/>
      </w:rPr>
      <w:t>оект</w:t>
    </w:r>
    <w:r>
      <w:rPr>
        <w:rFonts w:ascii="Times New Roman" w:hAnsi="Times New Roman"/>
        <w:color w:val="FFFFFF" w:themeColor="background1"/>
        <w:sz w:val="24"/>
        <w:szCs w:val="24"/>
      </w:rPr>
      <w:tab/>
    </w:r>
    <w:r>
      <w:rPr>
        <w:rFonts w:ascii="Times New Roman" w:hAnsi="Times New Roman"/>
        <w:color w:val="FFFFFF" w:themeColor="background1"/>
        <w:sz w:val="24"/>
        <w:szCs w:val="24"/>
      </w:rPr>
      <w:tab/>
    </w:r>
    <w:r>
      <w:rPr>
        <w:rFonts w:ascii="Times New Roman" w:hAnsi="Times New Roman"/>
        <w:color w:val="FFFFFF" w:themeColor="background1"/>
        <w:sz w:val="24"/>
        <w:szCs w:val="24"/>
      </w:rPr>
      <w:tab/>
    </w:r>
    <w:r>
      <w:rPr>
        <w:rFonts w:ascii="Times New Roman" w:hAnsi="Times New Roman"/>
        <w:color w:val="FFFFFF" w:themeColor="background1"/>
        <w:sz w:val="24"/>
        <w:szCs w:val="24"/>
      </w:rPr>
      <w:tab/>
    </w:r>
    <w:r>
      <w:rPr>
        <w:rFonts w:ascii="Times New Roman" w:hAnsi="Times New Roman"/>
        <w:color w:val="FFFFFF" w:themeColor="background1"/>
        <w:sz w:val="24"/>
        <w:szCs w:val="24"/>
      </w:rPr>
      <w:tab/>
    </w:r>
  </w:p>
  <w:p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 округ</w:t>
    </w:r>
  </w:p>
  <w:p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 ЗАТО СЕВЕРСК</w:t>
    </w:r>
  </w:p>
  <w:p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3C8"/>
    <w:multiLevelType w:val="hybridMultilevel"/>
    <w:tmpl w:val="FFD8A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E2B5E"/>
    <w:multiLevelType w:val="hybridMultilevel"/>
    <w:tmpl w:val="2514B6D0"/>
    <w:lvl w:ilvl="0" w:tplc="AECC7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D2891"/>
    <w:multiLevelType w:val="hybridMultilevel"/>
    <w:tmpl w:val="DC149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2011B"/>
    <w:multiLevelType w:val="hybridMultilevel"/>
    <w:tmpl w:val="13B8BB26"/>
    <w:lvl w:ilvl="0" w:tplc="D360A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A666BC"/>
    <w:multiLevelType w:val="hybridMultilevel"/>
    <w:tmpl w:val="2C647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DD1885"/>
    <w:multiLevelType w:val="hybridMultilevel"/>
    <w:tmpl w:val="A6A20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315B91"/>
    <w:multiLevelType w:val="hybridMultilevel"/>
    <w:tmpl w:val="DF2E98A2"/>
    <w:lvl w:ilvl="0" w:tplc="BC2461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BF0643"/>
    <w:multiLevelType w:val="hybridMultilevel"/>
    <w:tmpl w:val="CFFA28E2"/>
    <w:lvl w:ilvl="0" w:tplc="CE529C18">
      <w:start w:val="1"/>
      <w:numFmt w:val="decimal"/>
      <w:lvlText w:val="%1)"/>
      <w:lvlJc w:val="left"/>
      <w:pPr>
        <w:ind w:left="1069" w:hanging="360"/>
      </w:pPr>
      <w:rPr>
        <w:rFonts w:eastAsia="Calibri" w:cs="Times New Roman CYR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CF4B73"/>
    <w:multiLevelType w:val="hybridMultilevel"/>
    <w:tmpl w:val="1E7C015A"/>
    <w:lvl w:ilvl="0" w:tplc="A954832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247DBE"/>
    <w:multiLevelType w:val="hybridMultilevel"/>
    <w:tmpl w:val="53704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A9126F"/>
    <w:multiLevelType w:val="hybridMultilevel"/>
    <w:tmpl w:val="B06CA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6A0528"/>
    <w:multiLevelType w:val="hybridMultilevel"/>
    <w:tmpl w:val="05C81084"/>
    <w:lvl w:ilvl="0" w:tplc="CA88518A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94BDA"/>
    <w:multiLevelType w:val="hybridMultilevel"/>
    <w:tmpl w:val="62189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AB5224"/>
    <w:multiLevelType w:val="hybridMultilevel"/>
    <w:tmpl w:val="5066ECFA"/>
    <w:lvl w:ilvl="0" w:tplc="98629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F24119"/>
    <w:multiLevelType w:val="hybridMultilevel"/>
    <w:tmpl w:val="525E3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800CC7"/>
    <w:multiLevelType w:val="hybridMultilevel"/>
    <w:tmpl w:val="DE6A1102"/>
    <w:lvl w:ilvl="0" w:tplc="BC2461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3E2E05"/>
    <w:multiLevelType w:val="hybridMultilevel"/>
    <w:tmpl w:val="F5602958"/>
    <w:lvl w:ilvl="0" w:tplc="10306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947CC3"/>
    <w:multiLevelType w:val="hybridMultilevel"/>
    <w:tmpl w:val="32CA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E2609"/>
    <w:multiLevelType w:val="hybridMultilevel"/>
    <w:tmpl w:val="1806DED2"/>
    <w:lvl w:ilvl="0" w:tplc="87C04C5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94BBF"/>
    <w:multiLevelType w:val="hybridMultilevel"/>
    <w:tmpl w:val="9A82DA20"/>
    <w:lvl w:ilvl="0" w:tplc="932451E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EA1837"/>
    <w:multiLevelType w:val="hybridMultilevel"/>
    <w:tmpl w:val="69DC90FC"/>
    <w:lvl w:ilvl="0" w:tplc="CA88518A">
      <w:start w:val="1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7"/>
  </w:num>
  <w:num w:numId="12">
    <w:abstractNumId w:val="18"/>
  </w:num>
  <w:num w:numId="13">
    <w:abstractNumId w:val="0"/>
  </w:num>
  <w:num w:numId="14">
    <w:abstractNumId w:val="2"/>
  </w:num>
  <w:num w:numId="15">
    <w:abstractNumId w:val="14"/>
  </w:num>
  <w:num w:numId="16">
    <w:abstractNumId w:val="11"/>
  </w:num>
  <w:num w:numId="17">
    <w:abstractNumId w:val="20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18955817-C5F0-40A3-BEAE-C9E5B83F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Стиль1"/>
    <w:basedOn w:val="aa"/>
    <w:qFormat/>
    <w:rPr>
      <w:sz w:val="24"/>
    </w:rPr>
  </w:style>
  <w:style w:type="paragraph" w:styleId="aa">
    <w:name w:val="No Spacing"/>
    <w:uiPriority w:val="1"/>
    <w:qFormat/>
    <w:rPr>
      <w:rFonts w:ascii="Times New Roman CYR" w:eastAsia="Times New Roman" w:hAnsi="Times New Roman CYR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FEFA162F12BAA1DE3E1BEF7351E0E51DC0FCEC17D5F635D295B91BA28A73AD3C44FA170D2776A1F9DD2D2DBK8E" TargetMode="External"/><Relationship Id="rId13" Type="http://schemas.openxmlformats.org/officeDocument/2006/relationships/hyperlink" Target="consultantplus://offline/ref=95CFEFA162F12BAA1DE3E1BEF7351E0E51DC0FCEC17D5F635D295B91BA28A73AD3C44FA170D2776A1F9DD9DCDBK9E" TargetMode="External"/><Relationship Id="rId18" Type="http://schemas.openxmlformats.org/officeDocument/2006/relationships/hyperlink" Target="consultantplus://offline/ref=95CFEFA162F12BAA1DE3E1BEF7351E0E51DC0FCEC17D5F635D295B91BA28A73AD3C44FA170D2776A1F9FD2D1DBK8E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&#1079;&#1072;&#1090;&#1086;-&#1089;&#1077;&#1074;&#1077;&#1088;&#1089;&#1082;.&#1088;&#1092;)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CFEFA162F12BAA1DE3E1BEF7351E0E51DC0FCEC17D5F635D295B91BA28A73AD3C44FA170D2776A1F9DD9D0DBKFE" TargetMode="External"/><Relationship Id="rId17" Type="http://schemas.openxmlformats.org/officeDocument/2006/relationships/hyperlink" Target="consultantplus://offline/ref=95CFEFA162F12BAA1DE3E1BEF7351E0E51DC0FCEC17D5F635D295B91BA28A73AD3C44FA170D2776A1F9CD1D6DBKB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CFEFA162F12BAA1DE3E1BEF7351E0E51DC0FCEC17D5F635D295B91BA28A73AD3C44FA170D2776A1F9CD0D0DBK8E" TargetMode="External"/><Relationship Id="rId20" Type="http://schemas.openxmlformats.org/officeDocument/2006/relationships/hyperlink" Target="http://duma-sever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CFEFA162F12BAA1DE3E1BEF7351E0E51DC0FCEC17D5F635D295B91BA28A73AD3C44FA170D2776A1F9DD4DDDBKC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CFEFA162F12BAA1DE3E1BEF7351E0E51DC0FCEC17D5F635D295B91BA28A73AD3C44FA170D2776A1F9CD0D6DBK5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5CFEFA162F12BAA1DE3E1BEF7351E0E51DC0FCEC17D5F635D295B91BA28A73AD3C44FA170D2776A1F9DD4D3DBK9E" TargetMode="External"/><Relationship Id="rId19" Type="http://schemas.openxmlformats.org/officeDocument/2006/relationships/hyperlink" Target="consultantplus://offline/ref=95CFEFA162F12BAA1DE3FFB3E159400A52D058C3C9745734037B5DC6E578A16F938449F4309FD7K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FEFA162F12BAA1DE3E1BEF7351E0E51DC0FCEC17D5F635D295B91BA28A73AD3C44FA170D2776A1F9DD3D3DBK9E" TargetMode="External"/><Relationship Id="rId14" Type="http://schemas.openxmlformats.org/officeDocument/2006/relationships/hyperlink" Target="consultantplus://offline/ref=95CFEFA162F12BAA1DE3E1BEF7351E0E51DC0FCEC17D5F635D295B91BA28A73AD3C44FA170D2776A1F9CD0D7DBKCE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8A1C-6F60-46AA-9A2B-6CF0F75C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Дума Решение.dot</Template>
  <TotalTime>2294</TotalTime>
  <Pages>7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Manankova</dc:creator>
  <cp:lastModifiedBy>Чечнёва Н.А.</cp:lastModifiedBy>
  <cp:revision>78</cp:revision>
  <cp:lastPrinted>2024-11-11T09:45:00Z</cp:lastPrinted>
  <dcterms:created xsi:type="dcterms:W3CDTF">2023-09-20T03:34:00Z</dcterms:created>
  <dcterms:modified xsi:type="dcterms:W3CDTF">2024-11-13T01:16:00Z</dcterms:modified>
</cp:coreProperties>
</file>